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Cheat Sheet: Linear Regression for Mintos</w:t>
      </w:r>
    </w:p>
    <w:p>
      <w:pPr>
        <w:pStyle w:val="Heading2"/>
      </w:pPr>
      <w:r>
        <w:t xml:space="preserve">1. Core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Mintos reading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Line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ŷ = m·x + b   → predicted interest or realized return 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Slope 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effective yield (€/€); or pp return per extra originator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SSE / Loss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Σ (yᵢ − ŷᵢ)²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∂L/∂b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(yᵢ − (m xᵢ + b))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xᵢ (yᵢ − (m xᵢ + b))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Update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param ← param − α · gradient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Closed-form 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 = Σ(x−x̄)(y−ȳ) / Σ(x−x̄)²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R²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1 − SS_res / SS_tot</w:t>
            </w:r>
          </w:p>
        </w:tc>
      </w:tr>
    </w:tbl>
    <w:p>
      <w:pPr>
        <w:pStyle w:val="Heading2"/>
      </w:pPr>
      <w:r>
        <w:t xml:space="preserve">2. Implementation Snippets</w:t>
      </w:r>
    </w:p>
    <w:p>
      <w:pPr>
        <w:spacing w:after="30"/>
      </w:pPr>
      <w:r>
        <w:rPr>
          <w:b/>
          <w:bCs/>
        </w:rPr>
        <w:t xml:space="preserve">Vectorised GD step:  </w:t>
      </w:r>
      <w:r>
        <w:rPr>
          <w:rFonts w:ascii="Consolas" w:cs="Consolas" w:eastAsia="Consolas" w:hAnsi="Consolas"/>
          <w:sz w:val="15"/>
          <w:szCs w:val="15"/>
        </w:rPr>
        <w:t xml:space="preserve">db=-2*mean(y-(m*x+b)); dm=-2*mean(x*(y-(m*x+b))); b-=α*db; m-=α*dm</w:t>
      </w:r>
    </w:p>
    <w:p>
      <w:pPr>
        <w:spacing w:after="30"/>
      </w:pPr>
      <w:r>
        <w:rPr>
          <w:b/>
          <w:bCs/>
        </w:rPr>
        <w:t xml:space="preserve">sklearn:  </w:t>
      </w:r>
      <w:r>
        <w:rPr>
          <w:rFonts w:ascii="Consolas" w:cs="Consolas" w:eastAsia="Consolas" w:hAnsi="Consolas"/>
          <w:sz w:val="15"/>
          <w:szCs w:val="15"/>
        </w:rPr>
        <w:t xml:space="preserve">LinearRegression().fit(X.reshape(-1,1), y) → .coef_[0], .intercept_, .score</w:t>
      </w:r>
    </w:p>
    <w:p>
      <w:pPr>
        <w:spacing w:after="50"/>
      </w:pPr>
      <w:r>
        <w:rPr>
          <w:b/>
          <w:bCs/>
        </w:rPr>
        <w:t xml:space="preserve">Centering recovery:  </w:t>
      </w:r>
      <w:r>
        <w:rPr>
          <w:rFonts w:ascii="Consolas" w:cs="Consolas" w:eastAsia="Consolas" w:hAnsi="Consolas"/>
          <w:sz w:val="15"/>
          <w:szCs w:val="15"/>
        </w:rPr>
        <w:t xml:space="preserve">m from GD on demeaned data; b = y.mean() - m*X.mean()</w:t>
      </w:r>
    </w:p>
    <w:p>
      <w:pPr>
        <w:pStyle w:val="Heading2"/>
      </w:pPr>
      <w:r>
        <w:t xml:space="preserve">3. Audience Adaptation (Mintos)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Emphasise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De-emphasise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Quant / technical investor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Residuals, R², estimator comparison, caveats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Over-simplified analogies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Retail / passive investor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Effective yield + R² in one sentence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Gradients, SSE, learning rate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Diversification-focused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pp lift per extra originator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Optimisation mathematics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Non-specialist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Rising scatter line; “more capital → more interest”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statistical jargon</w:t>
            </w:r>
          </w:p>
        </w:tc>
      </w:tr>
    </w:tbl>
    <w:p>
      <w:pPr>
        <w:pStyle w:val="Heading2"/>
      </w:pPr>
      <w:r>
        <w:t xml:space="preserve">4. Key Results</w:t>
      </w:r>
    </w:p>
    <w:p>
      <w:pPr>
        <w:spacing w:after="25"/>
      </w:pPr>
      <w:r>
        <w:t xml:space="preserve">Capital → Interest: m ≈ 0.109 (~10.9% effective yield), b ≈ −13, R² ≈ 0.59, n = 200</w:t>
      </w:r>
    </w:p>
    <w:p>
      <w:pPr>
        <w:spacing w:after="25"/>
      </w:pPr>
      <w:r>
        <w:t xml:space="preserve">Diversification practice: ≈ 0.13 pp higher realized return per extra originator</w:t>
      </w:r>
    </w:p>
    <w:p>
      <w:pPr>
        <w:spacing w:after="25"/>
      </w:pPr>
      <w:r>
        <w:t xml:space="preserve">Disclaimer: Synthetic teaching data. Not financial advice. Investing involves risk of loss.</w:t>
      </w:r>
    </w:p>
    <w:sectPr>
      <w:headerReference w:type="default" r:id="rId7"/>
      <w:footerReference w:type="default" r:id="rId8"/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Mintos Linear Regression Extended Project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Mintos Linear Regression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70" w:before="120"/>
    </w:pPr>
    <w:rPr>
      <w:rFonts w:ascii="Calibri" w:cs="Calibri" w:eastAsia="Calibri" w:hAnsi="Calibri"/>
      <w:b/>
      <w:bCs/>
      <w:color w:val="0E6655"/>
      <w:sz w:val="26"/>
      <w:szCs w:val="26"/>
    </w:rPr>
  </w:style>
  <w:style w:type="paragraph" w:styleId="Heading2">
    <w:name w:val="Heading 2"/>
    <w:basedOn w:val="Normal"/>
    <w:next w:val="Normal"/>
    <w:pPr>
      <w:spacing w:after="50" w:before="90"/>
    </w:pPr>
    <w:rPr>
      <w:rFonts w:ascii="Calibri" w:cs="Calibri" w:eastAsia="Calibri" w:hAnsi="Calibri"/>
      <w:b/>
      <w:bCs/>
      <w:color w:val="148F7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2026-08-25T20:13:06.249Z</dcterms:created>
  <dcterms:modified xsi:type="dcterms:W3CDTF">2026-08-25T20:13:06.249Z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