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Memo: Audience &amp; Situation Analysis</w:t>
      </w:r>
    </w:p>
    <w:p>
      <w:pPr>
        <w:spacing w:after="70"/>
      </w:pPr>
      <w:r>
        <w:t xml:space="preserve">Applies principles from “What to Consider When Considering the Audience” and “Audience and Situation Analysis” to the Mintos Linear Regression extended project (capital → interest earned and n_originators → realized return %). Top reasons people use Mintos that this project illustrates: passive income from competitive returns and diversification across originators/countries.</w:t>
      </w:r>
    </w:p>
    <w:p>
      <w:pPr>
        <w:pStyle w:val="Heading2"/>
      </w:pPr>
      <w:r>
        <w:t xml:space="preserve">1. Data Literacy</w:t>
      </w:r>
    </w:p>
    <w:p>
      <w:pPr>
        <w:spacing w:after="50"/>
      </w:pPr>
      <w:r>
        <w:t xml:space="preserve">Quantitative investors and fintech analysts are highly data-literate: scatter plots, residual plots, R² and even gradient formulas are appropriate. Retail / passive Mintos users may prefer a single clear number (effective yield) and a simple chart. Non-specialists need only a rising line and a one-sentence story.</w:t>
      </w:r>
    </w:p>
    <w:p>
      <w:pPr>
        <w:pStyle w:val="Heading2"/>
      </w:pPr>
      <w:r>
        <w:t xml:space="preserve">2. Subject Knowledge</w:t>
      </w:r>
    </w:p>
    <w:p>
      <w:pPr>
        <w:spacing w:after="50"/>
      </w:pPr>
      <w:r>
        <w:t xml:space="preserve">Experienced P2P / marketplace investors already understand that more capital tends to generate more interest and that diversification can improve outcomes; they want the quantitative slope, uncertainty, and caveats (originator risk, cash drag, platform fees, secondary-market liquidity). Complete newcomers need a short definition of “capital invested” and “interest earned” (and of Mintos itself) before any numbers appear.</w:t>
      </w:r>
    </w:p>
    <w:p>
      <w:pPr>
        <w:pStyle w:val="Heading2"/>
      </w:pPr>
      <w:r>
        <w:t xml:space="preserve">3. Audience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 from this project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66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emphasis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Quant / technical investor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Correctness of GD vs OLS, residual structure, caveats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Solution notebook + residual diagnostics + simulation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Retail / passive investor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actionable effective-yield number + confidence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1-page summary (headline + single chart)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Diversification-focused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pp lift per extra originator and plain interpretation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Diversification practice section of solution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Intuitive story; no jargon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Scatter + line only; plain-language paragraph</w:t>
            </w:r>
          </w:p>
        </w:tc>
      </w:tr>
    </w:tbl>
    <w:p>
      <w:pPr>
        <w:pStyle w:val="Heading2"/>
      </w:pPr>
      <w:r>
        <w:t xml:space="preserve">4. Situation Notes</w:t>
      </w:r>
    </w:p>
    <w:p>
      <w:pPr>
        <w:spacing w:after="40"/>
      </w:pPr>
      <w:r>
        <w:t xml:space="preserve">Primary situation: educational / self-study for investors and data learners interested in fintech and marketplace investing. Secondary: possible reuse as a short internal briefing for an investment-club or analytics team. Time pressure is moderate; the 1-page report is designed to be readable in under three minutes. No real capital allocation decision depends on the precise slope from this synthetic data, so residual uncertainty (R² ≈ 0.59) can be stated openly. Always flag that past or simulated performance is not a guarantee of future results and that investing involves risk of loss.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Audience &amp; Situation Notes — Mintos Linear Regression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20"/>
    </w:pPr>
    <w:rPr>
      <w:rFonts w:ascii="Calibri" w:cs="Calibri" w:eastAsia="Calibri" w:hAnsi="Calibri"/>
      <w:b/>
      <w:bCs/>
      <w:color w:val="0E6655"/>
      <w:sz w:val="26"/>
      <w:szCs w:val="26"/>
    </w:rPr>
  </w:style>
  <w:style w:type="paragraph" w:styleId="Heading2">
    <w:name w:val="Heading 2"/>
    <w:basedOn w:val="Normal"/>
    <w:next w:val="Normal"/>
    <w:pPr>
      <w:spacing w:after="50" w:before="90"/>
    </w:pPr>
    <w:rPr>
      <w:rFonts w:ascii="Calibri" w:cs="Calibri" w:eastAsia="Calibri" w:hAnsi="Calibri"/>
      <w:b/>
      <w:bCs/>
      <w:color w:val="148F7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2026-08-25T20:13:06.251Z</dcterms:created>
  <dcterms:modified xsi:type="dcterms:W3CDTF">2026-08-25T20:13:06.251Z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