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1-Page Summary Report</w:t>
      </w:r>
    </w:p>
    <w:p>
      <w:pPr>
        <w:pStyle w:val="Heading2"/>
      </w:pPr>
      <w:r>
        <w:t xml:space="preserve">Problem Statement</w:t>
      </w:r>
    </w:p>
    <w:p>
      <w:pPr>
        <w:spacing w:after="50"/>
      </w:pPr>
      <w:r>
        <w:t xml:space="preserve">Estimate the linear relationship between capital allocated to Mintos loan investments and interest earned (passive income), and (as secondary practice) the link between the number of originators in a portfolio and realized net return %. The educational goal is to implement simple linear regression both from scratch via gradient descent and with scikit-learn / closed-form OLS, framed around two of the top reasons people use Mintos: competitive passive returns and diversification across originators.</w:t>
      </w:r>
    </w:p>
    <w:p>
      <w:pPr>
        <w:pStyle w:val="Heading2"/>
      </w:pPr>
      <w:r>
        <w:t xml:space="preserve">Solution Strategy</w:t>
      </w:r>
    </w:p>
    <w:p>
      <w:pPr>
        <w:spacing w:after="50"/>
      </w:pPr>
      <w:r>
        <w:t xml:space="preserve">1. Explore the capital–interest scatter. 2. Define SSE loss and derive analytic gradients. 3. Implement iterative gradient descent with a centering trick (essential when capital is in thousands of euros). 4. Verify against the normal equations and sklearn. 5. Diagnose residuals and run Monte-Carlo simulations. 6. Estimate a diversification model (realized return % on number of originators). Audience-aware language is prepared for quantitative investors, retail/passive investors, diversification-focused users and non-specialists.</w:t>
      </w:r>
    </w:p>
    <w:p>
      <w:pPr>
        <w:pStyle w:val="Heading2"/>
      </w:pPr>
      <w:r>
        <w:t xml:space="preserve">Solution</w:t>
      </w:r>
    </w:p>
    <w:p>
      <w:pPr>
        <w:spacing w:after="40"/>
      </w:pPr>
      <w:r>
        <w:rPr>
          <w:b/>
          <w:bCs/>
        </w:rPr>
        <w:t xml:space="preserve">Key numerical results (capital → interest): </w:t>
      </w:r>
      <w:r>
        <w:t xml:space="preserve">slope (effective yield) ≈ 0.109 (€ interest per € capital, ~10.9%), intercept ≈ −13, R² ≈ 0.59. From-scratch centered GD, closed-form OLS and sklearn agree closely.</w:t>
      </w:r>
    </w:p>
    <w:p>
      <w:pPr>
        <w:spacing w:after="50"/>
      </w:pPr>
      <w:r>
        <w:drawing>
          <wp:inline distT="0" distB="0" distL="0" distR="0">
            <wp:extent cx="4953000" cy="2000250"/>
            <wp:effectExtent t="0" r="0" b="0" l="0"/>
            <wp:docPr id="1" name="fit" descr="Capital–interest scatter with fit and residual plot" title="Fit and residu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bCs/>
        </w:rPr>
        <w:t xml:space="preserve">Diversification practice: </w:t>
      </w:r>
      <w:r>
        <w:t xml:space="preserve">≈ 0.13 percentage points higher realized net return per extra originator in the portfolio.</w:t>
      </w:r>
    </w:p>
    <w:p>
      <w:pPr>
        <w:spacing w:after="40"/>
      </w:pPr>
      <w:r>
        <w:rPr>
          <w:b/>
          <w:bCs/>
        </w:rPr>
        <w:t xml:space="preserve">Audience translations: </w:t>
      </w:r>
      <w:r>
        <w:t xml:space="preserve">Retail investor — “Each extra euro of capital is associated with roughly €0.11 of annual interest; the model explains about 59 % of interest variation.” Diversification — “Each additional originator is linked to about 0.13 pp higher realized return.” Non-specialist — a rising line showing that larger portfolios tend to earn more interest.</w:t>
      </w:r>
    </w:p>
    <w:p>
      <w:pPr>
        <w:pStyle w:val="Heading2"/>
      </w:pPr>
      <w:r>
        <w:t xml:space="preserve">Key Takeaways</w:t>
      </w:r>
    </w:p>
    <w:p>
      <w:pPr>
        <w:spacing w:after="25"/>
      </w:pPr>
      <w:r>
        <w:t xml:space="preserve">• The line of best fit minimises average squared loss; lower loss is better on the same data.</w:t>
      </w:r>
    </w:p>
    <w:p>
      <w:pPr>
        <w:spacing w:after="25"/>
      </w:pPr>
      <w:r>
        <w:t xml:space="preserve">• Gradient descent moves parameters opposite the loss gradient; learning rate controls step size.</w:t>
      </w:r>
    </w:p>
    <w:p>
      <w:pPr>
        <w:spacing w:after="25"/>
      </w:pPr>
      <w:r>
        <w:t xml:space="preserve">• Centering is essential when predictors (capital) are large; otherwise GD needs impractically small α.</w:t>
      </w:r>
    </w:p>
    <w:p>
      <w:pPr>
        <w:spacing w:after="25"/>
      </w:pPr>
      <w:r>
        <w:t xml:space="preserve">• sklearn, closed-form and a correctly implemented GD recover the same simple-OLS coefficients.</w:t>
      </w:r>
    </w:p>
    <w:p>
      <w:pPr>
        <w:spacing w:after="25"/>
      </w:pPr>
      <w:r>
        <w:t xml:space="preserve">• Always adapt charts and language to the audience (quant investors vs retail vs non-specialists).</w:t>
      </w:r>
    </w:p>
    <w:p>
      <w:pPr>
        <w:spacing w:after="25"/>
      </w:pPr>
      <w:r>
        <w:t xml:space="preserve">• Synthetic teaching data inspired by publicly discussed Mintos return ranges. Not financial advice; investing involves risk of loss.</w:t>
      </w:r>
    </w:p>
    <w:sectPr>
      <w:headerReference w:type="default" r:id="rId7"/>
      <w:footerReference w:type="default" r:id="rId8"/>
      <w:pgSz w:w="11906" w:h="16838" w:orient="portrait"/>
      <w:pgMar w:top="540" w:right="720" w:bottom="54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i/>
        <w:iCs/>
        <w:color w:val="666666"/>
        <w:sz w:val="16"/>
        <w:szCs w:val="16"/>
      </w:rPr>
      <w:t xml:space="preserve">Mintos Linear Regression — Extended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70" w:before="100"/>
    </w:pPr>
    <w:rPr>
      <w:rFonts w:ascii="Calibri" w:cs="Calibri" w:eastAsia="Calibri" w:hAnsi="Calibri"/>
      <w:b/>
      <w:bCs/>
      <w:color w:val="0E6655"/>
      <w:sz w:val="28"/>
      <w:szCs w:val="28"/>
    </w:rPr>
  </w:style>
  <w:style w:type="paragraph" w:styleId="Heading2">
    <w:name w:val="Heading 2"/>
    <w:basedOn w:val="Normal"/>
    <w:next w:val="Normal"/>
    <w:pPr>
      <w:spacing w:after="50" w:before="90"/>
    </w:pPr>
    <w:rPr>
      <w:rFonts w:ascii="Calibri" w:cs="Calibri" w:eastAsia="Calibri" w:hAnsi="Calibri"/>
      <w:b/>
      <w:bCs/>
      <w:color w:val="148F7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0ae34d141fce6faddf2b41220214480ae4bf3e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2026-08-25T20:13:06.241Z</dcterms:created>
  <dcterms:modified xsi:type="dcterms:W3CDTF">2026-08-25T20:13:06.242Z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