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Strategy: Creating Similar Central-Tendency Projects</w:t>
      </w:r>
    </w:p>
    <w:p>
      <w:pPr>
        <w:spacing w:after="80"/>
      </w:pPr>
      <w:r>
        <w:t xml:space="preserve">This guide distills the pattern used for the NYC Housing and Crime Severity projects so you can rapidly produce new, audience-aware practice materials.</w:t>
      </w:r>
    </w:p>
    <w:p>
      <w:pPr>
        <w:pStyle w:val="Heading2"/>
      </w:pPr>
      <w:r>
        <w:t xml:space="preserve">1. Choose a Domain with Natural Skew</w:t>
      </w:r>
    </w:p>
    <w:p>
      <w:pPr>
        <w:pStyle w:val="ListParagraph"/>
        <w:numPr>
          <w:ilvl w:val="0"/>
          <w:numId w:val="2"/>
        </w:numPr>
      </w:pPr>
      <w:r>
        <w:t xml:space="preserve">Housing rents, incomes, claim amounts, crime severity, website session duration, hospital length-of-stay, energy consumption, retail basket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near-symmetric continuous variables (e.g., adult height) where mean ≈ median ≈ mode and the pedagogical contrast disappears.</w:t>
      </w:r>
    </w:p>
    <w:p>
      <w:pPr>
        <w:pStyle w:val="Heading2"/>
      </w:pPr>
      <w:r>
        <w:t xml:space="preserve">2. Fixed Deliverable Template</w:t>
      </w:r>
    </w:p>
    <w:p>
      <w:pPr>
        <w:pStyle w:val="ListParagraph"/>
        <w:numPr>
          <w:ilvl w:val="0"/>
          <w:numId w:val="3"/>
        </w:numPr>
      </w:pPr>
      <w:r>
        <w:t xml:space="preserve">Practice_Skeleton.ipynb — markdown steps + TODO code cells + flowchart image.</w:t>
      </w:r>
    </w:p>
    <w:p>
      <w:pPr>
        <w:pStyle w:val="ListParagraph"/>
        <w:numPr>
          <w:ilvl w:val="0"/>
          <w:numId w:val="3"/>
        </w:numPr>
      </w:pPr>
      <w:r>
        <w:t xml:space="preserve">Solution.ipynb — fully worked code, alternate paths, more-practice answers, simulation, audience messaging.</w:t>
      </w:r>
    </w:p>
    <w:p>
      <w:pPr>
        <w:pStyle w:val="ListParagraph"/>
        <w:numPr>
          <w:ilvl w:val="0"/>
          <w:numId w:val="3"/>
        </w:numPr>
      </w:pPr>
      <w:r>
        <w:t xml:space="preserve">1Page_Summary_Report.docx — Problem / Strategy / Solution (table + graph) / Key Takeaways.</w:t>
      </w:r>
    </w:p>
    <w:p>
      <w:pPr>
        <w:pStyle w:val="ListParagraph"/>
        <w:numPr>
          <w:ilvl w:val="0"/>
          <w:numId w:val="3"/>
        </w:numPr>
      </w:pPr>
      <w:r>
        <w:t xml:space="preserve">Cheatsheet.docx — formulas, skew rule, histogram pattern, audience checklist.</w:t>
      </w:r>
    </w:p>
    <w:p>
      <w:pPr>
        <w:pStyle w:val="ListParagraph"/>
        <w:numPr>
          <w:ilvl w:val="0"/>
          <w:numId w:val="3"/>
        </w:numPr>
      </w:pPr>
      <w:r>
        <w:t xml:space="preserve">Project_Memo.docx — audience-adapted brief (analyst / executive / nonspecialist).</w:t>
      </w:r>
    </w:p>
    <w:p>
      <w:pPr>
        <w:pStyle w:val="ListParagraph"/>
        <w:numPr>
          <w:ilvl w:val="0"/>
          <w:numId w:val="3"/>
        </w:numPr>
      </w:pPr>
      <w:r>
        <w:t xml:space="preserve">Flowchart PNG + supporting hist / simulation plots.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data/*.csv (synthetic is fine if documented) + Extended_Project.zip.</w:t>
      </w:r>
    </w:p>
    <w:p>
      <w:pPr>
        <w:pStyle w:val="Heading2"/>
      </w:pPr>
      <w:r>
        <w:t xml:space="preserve">3. Pedagogical Sequence (always keep this order)</w:t>
      </w:r>
    </w:p>
    <w:p>
      <w:pPr>
        <w:pStyle w:val="ListParagraph"/>
        <w:numPr>
          <w:ilvl w:val="0"/>
          <w:numId w:val="2"/>
        </w:numPr>
      </w:pPr>
      <w:r>
        <w:t xml:space="preserve">Load → extract vector → mean → median → mode → comparison table → histogram overlay → interpretation → assumptions → alternates → more practice → simulation → takeaways.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 the Mode ≤ Median ≤ Mean observation so learners internalise the skew diagnostic.</w:t>
      </w:r>
    </w:p>
    <w:p>
      <w:pPr>
        <w:pStyle w:val="Heading2"/>
      </w:pPr>
      <w:r>
        <w:t xml:space="preserve">4. Audience Layer (from the attached PDFs)</w:t>
      </w:r>
    </w:p>
    <w:p>
      <w:pPr>
        <w:pStyle w:val="ListParagraph"/>
        <w:numPr>
          <w:ilvl w:val="0"/>
          <w:numId w:val="2"/>
        </w:numPr>
      </w:pPr>
      <w:r>
        <w:t xml:space="preserve">Data literacy: high (analysts get code + simulation) vs low (executives get median + one implication).</w:t>
      </w:r>
    </w:p>
    <w:p>
      <w:pPr>
        <w:pStyle w:val="ListParagraph"/>
        <w:numPr>
          <w:ilvl w:val="0"/>
          <w:numId w:val="2"/>
        </w:numPr>
      </w:pPr>
      <w:r>
        <w:t xml:space="preserve">Subject knowledge: experts skip definitions; nonspecialists need “what does up mean?”</w:t>
      </w:r>
    </w:p>
    <w:p>
      <w:pPr>
        <w:pStyle w:val="ListParagraph"/>
        <w:numPr>
          <w:ilvl w:val="0"/>
          <w:numId w:val="2"/>
        </w:numPr>
      </w:pPr>
      <w:r>
        <w:t xml:space="preserve">Time span: C-level / newspaper skim vs deep-dive notebook.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three parallel paragraphs that carry the identical numbers in three different registers.</w:t>
      </w:r>
    </w:p>
    <w:p>
      <w:pPr>
        <w:pStyle w:val="Heading2"/>
      </w:pPr>
      <w:r>
        <w:t xml:space="preserve">Suggested Topics for Future Projects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Insurance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 severity ($)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Classic right skew; mode useful for most-common claim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E-commerce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Order value / session length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Heavy tail; median for “typical basket”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Healthcare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Length of stay (days)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Outliers matter for capacity planning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Energy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Monthly kWh per household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 ≈ common tariff band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/ Comp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 salary by 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Compare mean vs median for equity narratives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Commute time (min)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 skew; median preferred by planners</w:t>
            </w:r>
          </w:p>
        </w:tc>
      </w:tr>
    </w:tbl>
    <w:p>
      <w:pPr>
        <w:pStyle w:val="Heading2"/>
      </w:pPr>
      <w:r>
        <w:t xml:space="preserve">When This Type of Analysis Is Recommended</w:t>
      </w:r>
    </w:p>
    <w:p>
      <w:pPr>
        <w:pStyle w:val="ListParagraph"/>
        <w:numPr>
          <w:ilvl w:val="0"/>
          <w:numId w:val="4"/>
        </w:numPr>
      </w:pPr>
      <w:r>
        <w:t xml:space="preserve">You need a single-number summary of a continuous or discrete numeric variable.</w:t>
      </w:r>
    </w:p>
    <w:p>
      <w:pPr>
        <w:pStyle w:val="ListParagraph"/>
        <w:numPr>
          <w:ilvl w:val="0"/>
          <w:numId w:val="4"/>
        </w:numPr>
      </w:pPr>
      <w:r>
        <w:t xml:space="preserve">The distribution is known or suspected to be skewed (housing, income, claims, severity).</w:t>
      </w:r>
    </w:p>
    <w:p>
      <w:pPr>
        <w:pStyle w:val="ListParagraph"/>
        <w:numPr>
          <w:ilvl w:val="0"/>
          <w:numId w:val="4"/>
        </w:numPr>
      </w:pPr>
      <w:r>
        <w:t xml:space="preserve">Stakeholders will act on “typical” values (budgeting, affordability, capacity).</w:t>
      </w:r>
    </w:p>
    <w:p>
      <w:pPr>
        <w:pStyle w:val="ListParagraph"/>
        <w:numPr>
          <w:ilvl w:val="0"/>
          <w:numId w:val="4"/>
        </w:numPr>
      </w:pPr>
      <w:r>
        <w:t xml:space="preserve">You must communicate the same result to mixed audiences (analyst + executive + public).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want a quick visual skew diagnostic (Mode / Median / Mean ordering).</w:t>
      </w:r>
    </w:p>
    <w:p>
      <w:pPr>
        <w:pStyle w:val="Heading2"/>
      </w:pPr>
      <w:r>
        <w:t xml:space="preserve">When It Is NOT Recommended (or insufficient)</w:t>
      </w:r>
    </w:p>
    <w:p>
      <w:pPr>
        <w:pStyle w:val="ListParagraph"/>
        <w:numPr>
          <w:ilvl w:val="0"/>
          <w:numId w:val="5"/>
        </w:numPr>
      </w:pPr>
      <w:r>
        <w:t xml:space="preserve">The research question is about relationships or causal effects → move to regression / RCT / RDD.</w:t>
      </w:r>
    </w:p>
    <w:p>
      <w:pPr>
        <w:pStyle w:val="ListParagraph"/>
        <w:numPr>
          <w:ilvl w:val="0"/>
          <w:numId w:val="5"/>
        </w:numPr>
      </w:pPr>
      <w:r>
        <w:t xml:space="preserve">You need uncertainty quantification → report CIs or bootstrap intervals, not point estimates alone.</w:t>
      </w:r>
    </w:p>
    <w:p>
      <w:pPr>
        <w:pStyle w:val="ListParagraph"/>
        <w:numPr>
          <w:ilvl w:val="0"/>
          <w:numId w:val="5"/>
        </w:numPr>
      </w:pPr>
      <w:r>
        <w:t xml:space="preserve">The variable is multimodal with meaningful sub-populations → report modes per group or mixture models.</w:t>
      </w:r>
    </w:p>
    <w:p>
      <w:pPr>
        <w:pStyle w:val="ListParagraph"/>
        <w:numPr>
          <w:ilvl w:val="0"/>
          <w:numId w:val="5"/>
        </w:numPr>
      </w:pPr>
      <w:r>
        <w:t xml:space="preserve">Decision requires the full distribution (VaR, pricing) → use quantiles or density estimates.</w:t>
      </w:r>
    </w:p>
    <w:p>
      <w:pPr>
        <w:pStyle w:val="ListParagraph"/>
        <w:numPr>
          <w:ilvl w:val="0"/>
          <w:numId w:val="5"/>
        </w:numPr>
      </w:pPr>
      <w:r>
        <w:t xml:space="preserve">Sample size is tiny (n &lt; 20) and outliers dominate → prefer robust location estimators or rank stats.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audience already understands the skew and only needs a single KPI → just publish the median.</w:t>
      </w:r>
    </w:p>
    <w:p>
      <w:pPr>
        <w:pStyle w:val="Heading2"/>
      </w:pPr>
      <w:r>
        <w:t xml:space="preserve">Quick Production Checklist</w:t>
      </w:r>
    </w:p>
    <w:p>
      <w:pPr>
        <w:pStyle w:val="ListParagraph"/>
        <w:numPr>
          <w:ilvl w:val="0"/>
          <w:numId w:val="3"/>
        </w:numPr>
      </w:pPr>
      <w:r>
        <w:t xml:space="preserve">Generate or obtain a modestly skewed numeric vector (or three comparable groups).</w:t>
      </w:r>
    </w:p>
    <w:p>
      <w:pPr>
        <w:pStyle w:val="ListParagraph"/>
        <w:numPr>
          <w:ilvl w:val="0"/>
          <w:numId w:val="3"/>
        </w:numPr>
      </w:pPr>
      <w:r>
        <w:t xml:space="preserve">Force a clear mode by injecting repeated values if necessary.</w:t>
      </w:r>
    </w:p>
    <w:p>
      <w:pPr>
        <w:pStyle w:val="ListParagraph"/>
        <w:numPr>
          <w:ilvl w:val="0"/>
          <w:numId w:val="3"/>
        </w:numPr>
      </w:pPr>
      <w:r>
        <w:t xml:space="preserve">Write the skeleton first (TODOs only), then fill the solution.</w:t>
      </w:r>
    </w:p>
    <w:p>
      <w:pPr>
        <w:pStyle w:val="ListParagraph"/>
        <w:numPr>
          <w:ilvl w:val="0"/>
          <w:numId w:val="3"/>
        </w:numPr>
      </w:pPr>
      <w:r>
        <w:t xml:space="preserve">Add at least one alternate implementation and one simulation.</w:t>
      </w:r>
    </w:p>
    <w:p>
      <w:pPr>
        <w:pStyle w:val="ListParagraph"/>
        <w:numPr>
          <w:ilvl w:val="0"/>
          <w:numId w:val="3"/>
        </w:numPr>
      </w:pPr>
      <w:r>
        <w:t xml:space="preserve">Draft three audience paragraphs that reuse the identical numbers.</w:t>
      </w:r>
    </w:p>
    <w:p>
      <w:pPr>
        <w:pStyle w:val="ListParagraph"/>
        <w:numPr>
          <w:ilvl w:val="0"/>
          <w:numId w:val="3"/>
        </w:numPr>
      </w:pPr>
      <w:r>
        <w:t xml:space="preserve">Produce flowchart + hist + simulation images; embed in notebooks and 1-page report.</w:t>
      </w:r>
    </w:p>
    <w:p>
      <w:pPr>
        <w:pStyle w:val="ListParagraph"/>
        <w:numPr>
          <w:ilvl w:val="0"/>
          <w:numId w:val="3"/>
        </w:numPr>
      </w:pPr>
      <w:r>
        <w:t xml:space="preserve">Zip everything; update project memory.</w:t>
      </w:r>
    </w:p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5"/>
        <w:szCs w:val="15"/>
      </w:rPr>
      <w:t xml:space="preserve">Strategy Guide — Building Central-Tendency Teaching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1A527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2026-08-20T22:18:19.284Z</dcterms:created>
  <dcterms:modified xsi:type="dcterms:W3CDTF">2026-08-20T22:18:19.284Z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