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0"/>
          <w:szCs w:val="20"/>
        </w:rPr>
        <w:t xml:space="preserve">TO: Real-Estate Analytics Team &amp; Leadership</w:t>
      </w:r>
    </w:p>
    <w:p>
      <w:r>
        <w:rPr>
          <w:b/>
          <w:bCs/>
          <w:sz w:val="20"/>
          <w:szCs w:val="20"/>
        </w:rPr>
        <w:t xml:space="preserve">FROM: Data Analysis Practice Series</w:t>
      </w:r>
    </w:p>
    <w:p>
      <w:r>
        <w:rPr>
          <w:b/>
          <w:bCs/>
          <w:sz w:val="20"/>
          <w:szCs w:val="20"/>
        </w:rPr>
        <w:t xml:space="preserve">DATE: August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RE: Central Tendency of NYC One-Bedroom Rents — Audience-Adapted Brief</w:t>
      </w:r>
    </w:p>
    <w:p>
      <w:pPr>
        <w:pStyle w:val="Heading1"/>
      </w:pPr>
      <w:r>
        <w:t xml:space="preserve">Purpose</w:t>
      </w:r>
    </w:p>
    <w:p>
      <w:pPr>
        <w:spacing w:after="80"/>
      </w:pPr>
      <w:r>
        <w:t xml:space="preserve">This memo accompanies the R notebooks (Practice Skeleton + Solution), the 1-page summary report, and the cheatsheet. It translates the same three statistics (mean / median / mode) into language appropriate for the three audience types identified in our audience-analysis materials: (1) data analysts / technicians, (2) executives / decision-makers, and (3) nonspecialists / public-facing communications.</w:t>
      </w:r>
    </w:p>
    <w:p>
      <w:pPr>
        <w:pStyle w:val="Heading1"/>
      </w:pPr>
      <w:r>
        <w:t xml:space="preserve">Key Numbers (n = 180 listings per borough)</w:t>
      </w:r>
    </w:p>
    <w:p>
      <w:r>
        <w:rPr>
          <w:sz w:val="19"/>
          <w:szCs w:val="19"/>
        </w:rPr>
        <w:t xml:space="preserve">Brooklyn:   Mean $2,940  |  Median $2,799  |  Mode $2,500</w:t>
      </w:r>
    </w:p>
    <w:p>
      <w:r>
        <w:rPr>
          <w:sz w:val="19"/>
          <w:szCs w:val="19"/>
        </w:rPr>
        <w:t xml:space="preserve">Manhattan:  Mean $3,937  |  Median $3,787  |  Mode $3,500</w:t>
      </w:r>
    </w:p>
    <w:p>
      <w:pPr>
        <w:spacing w:after="80"/>
      </w:pPr>
      <w:r>
        <w:rPr>
          <w:sz w:val="19"/>
          <w:szCs w:val="19"/>
        </w:rPr>
        <w:t xml:space="preserve">Queens:     Mean $2,435  |  Median $2,252  |  Mode $2,000</w:t>
      </w:r>
    </w:p>
    <w:p>
      <w:pPr>
        <w:spacing w:after="80"/>
      </w:pPr>
      <w:r>
        <w:rPr>
          <w:i/>
          <w:iCs/>
          <w:sz w:val="18"/>
          <w:szCs w:val="18"/>
        </w:rPr>
        <w:t xml:space="preserve">All three boroughs show Mode ≤ Median ≤ Mean (right skew driven by luxury outliers).</w:t>
      </w:r>
    </w:p>
    <w:p>
      <w:pPr>
        <w:pStyle w:val="Heading1"/>
      </w:pPr>
      <w:r>
        <w:t xml:space="preserve">Recommended Messaging by Audience</w:t>
      </w:r>
    </w:p>
    <w:p>
      <w:pPr>
        <w:pStyle w:val="Heading2"/>
      </w:pPr>
      <w:r>
        <w:t xml:space="preserve">1. Analysts / Technicians (high data literacy)</w:t>
      </w:r>
    </w:p>
    <w:p>
      <w:pPr>
        <w:spacing w:after="60"/>
      </w:pPr>
      <w:r>
        <w:t xml:space="preserve">Supply the comparison table, the explicit skew diagnosis, the three histograms with reference lines, the alternate code paths, and the Monte-Carlo noise simulation (median is more stable than mean; raw mode needs binning). They can open the Solution notebook and re-run everything.</w:t>
      </w:r>
    </w:p>
    <w:p>
      <w:pPr>
        <w:pStyle w:val="Heading2"/>
      </w:pPr>
      <w:r>
        <w:t xml:space="preserve">2. Executives / Decision-makers (limited attention span)</w:t>
      </w:r>
    </w:p>
    <w:p>
      <w:pPr>
        <w:spacing w:after="60"/>
      </w:pPr>
      <w:r>
        <w:t xml:space="preserve">Lead with the median: “Typical one-bedroom rent is approximately $3,800 in Manhattan, $2,800 in Brooklyn, and $2,250 in Queens.” Add one sentence that averages sit 5–8 % higher because of luxury units. Close with a single implication (e.g., affordability benchmarks or budget reserves should be anchored on the median, not the mean).</w:t>
      </w:r>
    </w:p>
    <w:p>
      <w:pPr>
        <w:pStyle w:val="Heading2"/>
      </w:pPr>
      <w:r>
        <w:t xml:space="preserve">3. Nonspecialists / Public</w:t>
      </w:r>
    </w:p>
    <w:p>
      <w:pPr>
        <w:spacing w:after="80"/>
      </w:pPr>
      <w:r>
        <w:t xml:space="preserve">“If you look at the most common asking price, Queens is about $2,000, Brooklyn $2,500, and Manhattan $3,500. The ‘average’ you sometimes see is a bit higher because a handful of very expensive apartments pull that number up.” Avoid the words mean/median/mode unless the audience asks.</w:t>
      </w:r>
    </w:p>
    <w:p>
      <w:pPr>
        <w:pStyle w:val="Heading1"/>
      </w:pPr>
      <w:r>
        <w:t xml:space="preserve">Assumptions to Surface</w:t>
      </w:r>
    </w:p>
    <w:p>
      <w:pPr>
        <w:pStyle w:val="ListParagraph"/>
        <w:numPr>
          <w:ilvl w:val="0"/>
          <w:numId w:val="2"/>
        </w:numPr>
      </w:pPr>
      <w:r>
        <w:t xml:space="preserve">Samples are representative of the current one-bed market in each borough.</w:t>
      </w:r>
    </w:p>
    <w:p>
      <w:pPr>
        <w:pStyle w:val="ListParagraph"/>
        <w:numPr>
          <w:ilvl w:val="0"/>
          <w:numId w:val="2"/>
        </w:numPr>
      </w:pPr>
      <w:r>
        <w:t xml:space="preserve">Apartment quality / size / amenities are roughly comparable across the three samples.</w:t>
      </w:r>
    </w:p>
    <w:p>
      <w:pPr>
        <w:pStyle w:val="ListParagraph"/>
        <w:numPr>
          <w:ilvl w:val="0"/>
          <w:numId w:val="2"/>
        </w:numPr>
      </w:pPr>
      <w:r>
        <w:t xml:space="preserve">Data cover a comparable time window (seasonality and shocks affect all boroughs similarly).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Listing price is a reasonable proxy for actual transaction rent.</w:t>
      </w:r>
    </w:p>
    <w:p>
      <w:pPr>
        <w:pStyle w:val="Heading1"/>
      </w:pPr>
      <w:r>
        <w:t xml:space="preserve">Files Delivered</w:t>
      </w:r>
    </w:p>
    <w:p>
      <w:pPr>
        <w:pStyle w:val="ListParagraph"/>
        <w:numPr>
          <w:ilvl w:val="0"/>
          <w:numId w:val="2"/>
        </w:numPr>
      </w:pPr>
      <w:r>
        <w:t xml:space="preserve">NYC_Housing_Central_Tendency_Practice_Skeleton.ipynb</w:t>
      </w:r>
    </w:p>
    <w:p>
      <w:pPr>
        <w:pStyle w:val="ListParagraph"/>
        <w:numPr>
          <w:ilvl w:val="0"/>
          <w:numId w:val="2"/>
        </w:numPr>
      </w:pPr>
      <w:r>
        <w:t xml:space="preserve">NYC_Housing_Central_Tendency_Solution.ipynb</w:t>
      </w:r>
    </w:p>
    <w:p>
      <w:pPr>
        <w:pStyle w:val="ListParagraph"/>
        <w:numPr>
          <w:ilvl w:val="0"/>
          <w:numId w:val="2"/>
        </w:numPr>
      </w:pPr>
      <w:r>
        <w:t xml:space="preserve">NYC_Housing_Central_Tendency_1Page_Summary_Report.docx</w:t>
      </w:r>
    </w:p>
    <w:p>
      <w:pPr>
        <w:pStyle w:val="ListParagraph"/>
        <w:numPr>
          <w:ilvl w:val="0"/>
          <w:numId w:val="2"/>
        </w:numPr>
      </w:pPr>
      <w:r>
        <w:t xml:space="preserve">NYC_Housing_Central_Tendency_Cheatsheet.docx</w:t>
      </w:r>
    </w:p>
    <w:p>
      <w:pPr>
        <w:pStyle w:val="ListParagraph"/>
        <w:numPr>
          <w:ilvl w:val="0"/>
          <w:numId w:val="2"/>
        </w:numPr>
      </w:pPr>
      <w:r>
        <w:t xml:space="preserve">nyc_housing_central_tendency_flowchart.png + hist + simulation plots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data/brooklyn-one-bed.csv, manhattan-one-bed.csv, queens-one-bed.csv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Review the Solution notebook and the 1-page report.</w:t>
      </w:r>
    </w:p>
    <w:p>
      <w:pPr>
        <w:pStyle w:val="ListParagraph"/>
        <w:numPr>
          <w:ilvl w:val="0"/>
          <w:numId w:val="3"/>
        </w:numPr>
      </w:pPr>
      <w:r>
        <w:t xml:space="preserve">Decide whether median (or a trimmed mean) becomes the official “typical rent” KPI for internal dashboards.</w:t>
      </w:r>
    </w:p>
    <w:p>
      <w:pPr>
        <w:pStyle w:val="ListParagraph"/>
        <w:numPr>
          <w:ilvl w:val="0"/>
          <w:numId w:val="3"/>
        </w:numPr>
      </w:pPr>
      <w:r>
        <w:t xml:space="preserve">Re-run the simulation with market-specific noise assumptions before finalising any affordability model.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00"/>
      <w:outlineLvl w:val="1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2026-08-20T22:17:31.182Z</dcterms:created>
  <dcterms:modified xsi:type="dcterms:W3CDTF">2026-08-20T22:17:31.182Z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