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60"/>
      </w:pPr>
      <w:r>
        <w:t xml:space="preserve">Police departments need a quick, robust description of “typical” crime severity to size baseline resources and to communicate risk to command staff. Using a sample of 40 recent crime records, we compute the three classic measures of central tendency (mean, median, mode) of the severity_score (1–10 scale) and produce an audience-aware interpretation.</w:t>
      </w:r>
    </w:p>
    <w:p>
      <w:pPr>
        <w:pStyle w:val="Heading1"/>
      </w:pPr>
      <w:r>
        <w:t xml:space="preserve">Solution Strategy</w:t>
      </w:r>
    </w:p>
    <w:p>
      <w:pPr>
        <w:spacing w:after="40"/>
      </w:pPr>
      <w:r>
        <w:t xml:space="preserve">1. Extract the severity vector from crimes.csv.  2. Compute mean (sum/n and mean()), median (sort + median()), and mode (frequency table + custom function).  3. Overlay all three on a single histogram.  4. Write two versions of the takeaway: detailed for analysts, headline-first for commanders.  5. Run a small Monte-Carlo noise simulation to check robustness of each measure.</w:t>
      </w:r>
    </w:p>
    <w:p>
      <w:pPr>
        <w:pStyle w:val="Heading1"/>
      </w:pPr>
      <w:r>
        <w:t xml:space="preserve">Solution</w:t>
      </w:r>
    </w:p>
    <w:p>
      <w:pPr>
        <w:spacing w:after="40"/>
      </w:pPr>
      <w:r>
        <w:rPr>
          <w:b/>
          <w:bCs/>
        </w:rPr>
        <w:t xml:space="preserve">Results: </w:t>
      </w:r>
      <w:r>
        <w:t xml:space="preserve">Mean ≈ 5.41, Median = 5.1, Mode is multimodal (several scores appear twice; the first maximum returned by the custom function is typically 3.9 or 3.2). The distribution is mildly right-skewed, so the mean sits slightly above the median.</w:t>
      </w:r>
    </w:p>
    <w:p>
      <w:pPr>
        <w:spacing w:after="40"/>
      </w:pPr>
      <w:r>
        <w:rPr>
          <w:b/>
          <w:bCs/>
        </w:rPr>
        <w:t xml:space="preserve">Visual: </w:t>
      </w:r>
      <w:r>
        <w:t xml:space="preserve">Histogram of severity with vertical reference lines (red = mean, blue dashed = median, green = mode).</w:t>
      </w:r>
    </w:p>
    <w:p>
      <w:pPr>
        <w:spacing w:after="60"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hist" descr="Histogram with mean median mode lines" title="Severity 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</w:rPr>
        <w:t xml:space="preserve">Analyst takeaway: </w:t>
      </w:r>
      <w:r>
        <w:t xml:space="preserve">Mild right skew and multi-modality; median is the preferred single number for centre-seeking models; inspect the high-severity tail separately.</w:t>
      </w:r>
    </w:p>
    <w:p>
      <w:pPr>
        <w:spacing w:after="40"/>
      </w:pPr>
      <w:r>
        <w:rPr>
          <w:b/>
          <w:bCs/>
        </w:rPr>
        <w:t xml:space="preserve">Commander headline: </w:t>
      </w:r>
      <w:r>
        <w:t xml:space="preserve">Typical severity ≈ 5.1 (median). Average is a little higher (5.4) because of a few very serious incidents. Size baseline capacity to the median; reserve surge capacity for the high-severity tail.</w:t>
      </w:r>
    </w:p>
    <w:p>
      <w:pPr>
        <w:pStyle w:val="Heading1"/>
      </w:pPr>
      <w:r>
        <w:t xml:space="preserve">Key Takeaways</w:t>
      </w:r>
    </w:p>
    <w:p>
      <w:r>
        <w:t xml:space="preserve">• Prefer the median when communicating “typical” severity to decision makers; the mean is pulled upward by the severe tail.</w:t>
      </w:r>
    </w:p>
    <w:p>
      <w:r>
        <w:t xml:space="preserve">• Mode is not unique here — report the multi-modal nature rather than a single number.</w:t>
      </w:r>
    </w:p>
    <w:p>
      <w:r>
        <w:t xml:space="preserve">• Audience adaptation is essential: analysts receive distributional detail; commanders receive a headline + clear so-what.</w:t>
      </w:r>
    </w:p>
    <w:p>
      <w:r>
        <w:t xml:space="preserve">• Monte-Carlo noise simulation (noise_sd = 0.5) confirms both mean and median remain stable; always re-check robustness when the data-generating process changes.</w:t>
      </w:r>
    </w:p>
    <w:sectPr>
      <w:headerReference w:type="default" r:id="rId7"/>
      <w:footerReference w:type="default" r:id="rId8"/>
      <w:pgSz w:w="11906" w:h="16838" w:orient="portrait"/>
      <w:pgMar w:top="450" w:right="550" w:bottom="45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Audience-adapted for police analysts &amp; command staff  |  </w:t>
    </w: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4E79"/>
        <w:sz w:val="16"/>
        <w:szCs w:val="16"/>
      </w:rPr>
      <w:t xml:space="preserve">Crime Severity Central Tendency | 1-Page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pPr>
      <w:spacing w:after="40" w:before="100"/>
    </w:pPr>
    <w:rPr>
      <w:rFonts w:ascii="Calibri" w:cs="Calibri" w:eastAsia="Calibri" w:hAnsi="Calibri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cfab58ec87e32087b04207477c65ae7f865c3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2026-08-20T21:07:18.509Z</dcterms:created>
  <dcterms:modified xsi:type="dcterms:W3CDTF">2026-08-20T21:07:18.510Z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