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</w:rPr>
        <w:t xml:space="preserve">TO: </w:t>
      </w:r>
      <w:r>
        <w:t xml:space="preserve">Police Command Staff &amp; Crime Analysts</w:t>
      </w:r>
    </w:p>
    <w:p>
      <w:r>
        <w:rPr>
          <w:b/>
          <w:bCs/>
        </w:rPr>
        <w:t xml:space="preserve">FROM: </w:t>
      </w:r>
      <w:r>
        <w:t xml:space="preserve">Data Analysis Team</w:t>
      </w:r>
    </w:p>
    <w:p>
      <w:r>
        <w:rPr>
          <w:b/>
          <w:bCs/>
        </w:rPr>
        <w:t xml:space="preserve">DATE: </w:t>
      </w:r>
      <w:r>
        <w:t xml:space="preserve">August 2026</w:t>
      </w:r>
    </w:p>
    <w:p>
      <w:r>
        <w:rPr>
          <w:b/>
          <w:bCs/>
        </w:rPr>
        <w:t xml:space="preserve">RE: </w:t>
      </w:r>
      <w:r>
        <w:t xml:space="preserve">Central Tendency of Crime Severity Scores — Quick Brief</w:t>
      </w:r>
    </w:p>
    <w:p>
      <w:pPr>
        <w:spacing w:before="200"/>
      </w:pPr>
    </w:p>
    <w:p>
      <w:pPr>
        <w:pStyle w:val="Heading1"/>
      </w:pPr>
      <w:r>
        <w:t xml:space="preserve">Purpose</w:t>
      </w:r>
    </w:p>
    <w:p>
      <w:r>
        <w:t xml:space="preserve">This short memo accompanies the R notebooks (Practice Skeleton + Solution) and the 1-page summary report. It translates the statistical results into language appropriate for two primary audiences identified in our audience-analysis checklist: (1) crime analysts / technicians and (2) command staff / executives.</w:t>
      </w:r>
    </w:p>
    <w:p>
      <w:pPr>
        <w:pStyle w:val="Heading1"/>
      </w:pPr>
      <w:r>
        <w:t xml:space="preserve">Key Numbers</w:t>
      </w:r>
    </w:p>
    <w:p>
      <w:r>
        <w:t xml:space="preserve">Mean severity ≈ 5.41 | Median = 5.1 | Mode is multimodal (several scores appear twice). Distribution is mildly right-skewed.</w:t>
      </w:r>
    </w:p>
    <w:p>
      <w:pPr>
        <w:pStyle w:val="Heading1"/>
      </w:pPr>
      <w:r>
        <w:t xml:space="preserve">Recommended Messaging</w:t>
      </w:r>
    </w:p>
    <w:p>
      <w:r>
        <w:rPr>
          <w:b/>
          <w:bCs/>
        </w:rPr>
        <w:t xml:space="preserve">For Analysts: </w:t>
      </w:r>
      <w:r>
        <w:t xml:space="preserve">Supply the histogram, the three statistics, the note on multi-modality, and the simulation results. They can dig into the code and sensitivity analysis.</w:t>
      </w:r>
    </w:p>
    <w:p>
      <w:r>
        <w:rPr>
          <w:b/>
          <w:bCs/>
        </w:rPr>
        <w:t xml:space="preserve">For Command: </w:t>
      </w:r>
      <w:r>
        <w:t xml:space="preserve">Lead with the median (5.1). One sentence on the slight upward pull of the mean caused by high-severity outliers. One sentence on resource implication: size baseline to the median, keep surge capacity for the tail.</w:t>
      </w:r>
    </w:p>
    <w:p>
      <w:pPr>
        <w:pStyle w:val="Heading1"/>
      </w:pPr>
      <w:r>
        <w:t xml:space="preserve">Files Delivered</w:t>
      </w:r>
    </w:p>
    <w:p>
      <w:r>
        <w:t xml:space="preserve">• Crime_Severity_Central_Tendency_Practice_Skeleton.ipynb</w:t>
      </w:r>
    </w:p>
    <w:p>
      <w:r>
        <w:t xml:space="preserve">• Crime_Severity_Central_Tendency_Solution.ipynb</w:t>
      </w:r>
    </w:p>
    <w:p>
      <w:r>
        <w:t xml:space="preserve">• Crime_Severity_Central_Tendency_1Page_Summary_Report.docx</w:t>
      </w:r>
    </w:p>
    <w:p>
      <w:r>
        <w:t xml:space="preserve">• Crime_Severity_Central_Tendency_Cheatsheet.docx</w:t>
      </w:r>
    </w:p>
    <w:p>
      <w:r>
        <w:t xml:space="preserve">• crime_severity_central_tendency_flowchart.png + supporting plots</w:t>
      </w:r>
    </w:p>
    <w:p>
      <w:pPr>
        <w:pStyle w:val="Heading1"/>
      </w:pPr>
      <w:r>
        <w:t xml:space="preserve">Next Steps</w:t>
      </w:r>
    </w:p>
    <w:p>
      <w:r>
        <w:t xml:space="preserve">1. Review the Solution notebook and the 1-page report. 2. Decide whether median or a trimmed mean should become the official “typical severity” KPI. 3. Re-run the simulation with department-specific noise assumptions before finalising any capacity model.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4"/>
        <w:szCs w:val="14"/>
      </w:rPr>
      <w:t xml:space="preserve">Confidential — for command &amp; analytic staff  |  </w:t>
    </w:r>
    <w:r>
      <w:rPr>
        <w:sz w:val="14"/>
        <w:szCs w:val="14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1F4E79"/>
        <w:sz w:val="18"/>
        <w:szCs w:val="18"/>
      </w:rPr>
      <w:t xml:space="preserve">INTERNAL MEMO — Crime Analysis Unit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80" w:before="160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2026-08-20T21:07:37.898Z</dcterms:created>
  <dcterms:modified xsi:type="dcterms:W3CDTF">2026-08-20T21:07:37.898Z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