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26"/>
          <w:szCs w:val="26"/>
        </w:rPr>
        <w:t xml:space="preserve">MEMORANDUM</w:t>
      </w:r>
    </w:p>
    <w:p>
      <w:pPr>
        <w:spacing w:after="80"/>
      </w:pPr>
      <w:r>
        <w:rPr>
          <w:sz w:val="19"/>
          <w:szCs w:val="19"/>
        </w:rPr>
        <w:t xml:space="preserve">To: Macroeconomics / Policy Analysis Team</w:t>
      </w:r>
    </w:p>
    <w:p>
      <w:pPr>
        <w:spacing w:after="80"/>
      </w:pPr>
      <w:r>
        <w:rPr>
          <w:sz w:val="19"/>
          <w:szCs w:val="19"/>
        </w:rPr>
        <w:t xml:space="preserve">From: Quantitative Methods Support</w:t>
      </w:r>
    </w:p>
    <w:p>
      <w:pPr>
        <w:spacing w:after="80"/>
      </w:pPr>
      <w:r>
        <w:rPr>
          <w:sz w:val="19"/>
          <w:szCs w:val="19"/>
        </w:rPr>
        <w:t xml:space="preserve">Re: Ranking focus economies under growth uncertainty (Monte-Carlo)</w:t>
      </w:r>
    </w:p>
    <w:p>
      <w:pPr>
        <w:spacing w:after="100"/>
      </w:pPr>
      <w:r>
        <w:rPr>
          <w:b/>
          <w:bCs/>
        </w:rPr>
        <w:t xml:space="preserve">Purpose. </w:t>
      </w:r>
      <w:r>
        <w:t xml:space="preserve">Provide a transparent, reproducible ranking of three LatAm focus economies (Costa Rica, Chile, Mexico) and quantify how those rankings change when growth is treated as stochastic.</w:t>
      </w:r>
    </w:p>
    <w:p>
      <w:pPr>
        <w:spacing w:after="80"/>
      </w:pPr>
      <w:r>
        <w:rPr>
          <w:b/>
          <w:bCs/>
          <w:color w:val="1F4E79"/>
          <w:sz w:val="20"/>
          <w:szCs w:val="20"/>
        </w:rPr>
        <w:t xml:space="preserve">Static ranks (from recent performance ordering)</w:t>
      </w:r>
    </w:p>
    <w:p>
      <w:r>
        <w:t xml:space="preserve">Costa Rica – rank 4  |  Chile – rank 5  |  Mexico – rank 7</w:t>
      </w:r>
    </w:p>
    <w:p>
      <w:pPr>
        <w:spacing w:after="80" w:before="100"/>
      </w:pPr>
      <w:r>
        <w:rPr>
          <w:b/>
          <w:bCs/>
          <w:color w:val="1F4E79"/>
          <w:sz w:val="20"/>
          <w:szCs w:val="20"/>
        </w:rPr>
        <w:t xml:space="preserve">Monte-Carlo results (baseline growth + realistic volatility)</w:t>
      </w:r>
    </w:p>
    <w:p>
      <w:r>
        <w:t xml:space="preserve">P(Costa Rica is the highest-growth of the three) ≈ 0.55–0.60</w:t>
      </w:r>
    </w:p>
    <w:p>
      <w:r>
        <w:t xml:space="preserve">P(Chile is #1) ≈ 0.25</w:t>
      </w:r>
    </w:p>
    <w:p>
      <w:r>
        <w:t xml:space="preserve">P(Mexico is #1) ≈ 0.15–0.20</w:t>
      </w:r>
    </w:p>
    <w:p>
      <w:pPr>
        <w:spacing w:after="80" w:before="100"/>
      </w:pPr>
      <w:r>
        <w:rPr>
          <w:b/>
          <w:bCs/>
          <w:color w:val="1F4E79"/>
          <w:sz w:val="20"/>
          <w:szCs w:val="20"/>
        </w:rPr>
        <w:t xml:space="preserve">Policy illustration</w:t>
      </w:r>
    </w:p>
    <w:p>
      <w:pPr>
        <w:spacing w:after="80"/>
      </w:pPr>
      <w:r>
        <w:t xml:space="preserve">A +0.8 pp growth boost to Costa Rica (e.g., successful structural reform) raises its probability of ranking first among the three to well above 0.70 in the same simulation framework.</w:t>
      </w:r>
    </w:p>
    <w:p>
      <w:pPr>
        <w:spacing w:after="80"/>
      </w:pPr>
      <w:r>
        <w:rPr>
          <w:b/>
          <w:bCs/>
        </w:rPr>
        <w:t xml:space="preserve">Recommendation. </w:t>
      </w:r>
      <w:r>
        <w:t xml:space="preserve">Use the supplied R notebooks for classroom demonstrations or rapid scenario work. Executives can rely on the one-page probability table; technical staff can inspect the full growth and rank matrices.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2026-08-20T20:33:40.410Z</dcterms:created>
  <dcterms:modified xsi:type="dcterms:W3CDTF">2026-08-20T20:33:40.410Z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