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4"/>
          <w:szCs w:val="24"/>
        </w:rPr>
        <w:t xml:space="preserve">Explore R Simulation Techniques — 1-Page Summary Report</w:t>
      </w:r>
    </w:p>
    <w:p>
      <w:pPr>
        <w:spacing w:after="100"/>
        <w:jc w:val="center"/>
      </w:pPr>
      <w:r>
        <w:rPr>
          <w:i/>
          <w:iCs/>
          <w:color w:val="555555"/>
          <w:sz w:val="15"/>
          <w:szCs w:val="15"/>
        </w:rPr>
        <w:t xml:space="preserve">Monte-Carlo methods in base R applied to race-place distributions</w:t>
      </w:r>
    </w:p>
    <w:p>
      <w:pPr>
        <w:spacing w:after="30"/>
      </w:pPr>
      <w:r>
        <w:rPr>
          <w:b/>
          <w:bCs/>
          <w:color w:val="1F4E79"/>
          <w:sz w:val="19"/>
          <w:szCs w:val="19"/>
        </w:rPr>
        <w:t xml:space="preserve">Problem Statement</w:t>
      </w:r>
    </w:p>
    <w:p>
      <w:pPr>
        <w:spacing w:after="50"/>
      </w:pPr>
      <w:r>
        <w:rPr>
          <w:sz w:val="15"/>
          <w:szCs w:val="15"/>
        </w:rPr>
        <w:t xml:space="preserve">How can we quantify the uncertainty in finishing places for a group of friends in a race of unknown or variable size? Analytic formulas become cumbersome once we care about joint events (all three finish top-10) or non-uniform generative models. Simulation lets us answer these questions empirically, explore sensitivity to field size, and obtain approximate confidence intervals via the bootstrap—all with a few lines of base R.</w:t>
      </w:r>
    </w:p>
    <w:p>
      <w:pPr>
        <w:spacing w:after="30"/>
      </w:pPr>
      <w:r>
        <w:rPr>
          <w:b/>
          <w:bCs/>
          <w:color w:val="1F4E79"/>
          <w:sz w:val="19"/>
          <w:szCs w:val="19"/>
        </w:rPr>
        <w:t xml:space="preserve">Solution Strategy</w:t>
      </w:r>
    </w:p>
    <w:p>
      <w:pPr>
        <w:spacing w:after="40"/>
      </w:pPr>
      <w:r>
        <w:rPr>
          <w:sz w:val="15"/>
          <w:szCs w:val="15"/>
        </w:rPr>
        <w:t xml:space="preserve">1. Set a seed for reproducibility. 2. Write a single-trial function that draws places (sample / rnorm / …). 3. Repeat the trial many times with replicate() or sapply(), collecting results in a matrix. 4. Summarize with means, quantiles and empirical probabilities. 5. Visualize with histograms and boxplots. 6. Vary parameters (n_runners, success threshold) to study sensitivity. 7. Apply the bootstrap for non-parametric intervals. The same workflow extends to permutation tests and parametric bootstrap.</w:t>
      </w:r>
    </w:p>
    <w:p>
      <w:pPr>
        <w:spacing w:after="30"/>
      </w:pPr>
      <w:r>
        <w:rPr>
          <w:b/>
          <w:bCs/>
          <w:color w:val="1F4E79"/>
          <w:sz w:val="19"/>
          <w:szCs w:val="19"/>
        </w:rPr>
        <w:t xml:space="preserve">Solution (illustrative results)</w:t>
      </w:r>
    </w:p>
    <w:tbl>
      <w:tblPr>
        <w:tblW w:type="dxa" w:w="11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8"/>
        <w:gridCol w:w="2248"/>
        <w:gridCol w:w="2248"/>
        <w:gridCol w:w="2248"/>
        <w:gridCol w:w="2248"/>
      </w:tblGrid>
      <w:tr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Setting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E[place]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P(≤10)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P(all ≤10)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n=30, uniform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~15.5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~0.33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~0.037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Baseline</w:t>
            </w:r>
          </w:p>
        </w:tc>
      </w:tr>
      <w:tr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n=60, uniform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~30.5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~0.17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~0.005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Larger field</w:t>
            </w:r>
          </w:p>
        </w:tc>
      </w:tr>
      <w:tr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Bootstrap CI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224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95% for mean place</w:t>
            </w:r>
          </w:p>
        </w:tc>
      </w:tr>
    </w:tbl>
    <w:p>
      <w:pPr>
        <w:spacing w:after="20" w:before="40"/>
      </w:pPr>
      <w:r>
        <w:rPr>
          <w:i/>
          <w:iCs/>
          <w:sz w:val="14"/>
          <w:szCs w:val="14"/>
        </w:rPr>
        <w:t xml:space="preserve">Workflow flowchart and example Monte-Carlo plots (histograms + boxplot + top-10 probabilities):</w:t>
      </w:r>
    </w:p>
    <w:p>
      <w:pPr>
        <w:spacing w:after="20"/>
        <w:jc w:val="center"/>
      </w:pPr>
      <w:r>
        <w:drawing>
          <wp:inline distT="0" distB="0" distL="0" distR="0">
            <wp:extent cx="2476500" cy="1905000"/>
            <wp:effectExtent t="0" r="0" b="0" l="0"/>
            <wp:docPr id="1" descr="Simulation workflow" title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distT="0" distB="0" distL="0" distR="0">
            <wp:extent cx="3619500" cy="2667000"/>
            <wp:effectExtent t="0" r="0" b="0" l="0"/>
            <wp:docPr id="1" descr="Place distributions" title="Pl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b/>
          <w:bCs/>
          <w:color w:val="1F4E79"/>
          <w:sz w:val="19"/>
          <w:szCs w:val="19"/>
        </w:rPr>
        <w:t xml:space="preserve">Key Takeaways</w:t>
      </w:r>
    </w:p>
    <w:p>
      <w:pPr>
        <w:spacing w:after="20"/>
      </w:pPr>
      <w:r>
        <w:rPr>
          <w:sz w:val="14"/>
          <w:szCs w:val="14"/>
        </w:rPr>
        <w:t xml:space="preserve">• set.seed + a single-trial function + replicate()/sapply() is the core Monte-Carlo pattern in base R.</w:t>
      </w:r>
    </w:p>
    <w:p>
      <w:pPr>
        <w:spacing w:after="20"/>
      </w:pPr>
      <w:r>
        <w:rPr>
          <w:sz w:val="14"/>
          <w:szCs w:val="14"/>
        </w:rPr>
        <w:t xml:space="preserve">• Empirical probabilities and quantiles are obtained simply by counting or applying summary functions to the result matrix.</w:t>
      </w:r>
    </w:p>
    <w:p>
      <w:pPr>
        <w:spacing w:after="20"/>
      </w:pPr>
      <w:r>
        <w:rPr>
          <w:sz w:val="14"/>
          <w:szCs w:val="14"/>
        </w:rPr>
        <w:t xml:space="preserve">• Sensitivity analysis (varying n_runners, thresholds, distributional assumptions) is almost free once the engine exists.</w:t>
      </w:r>
    </w:p>
    <w:p>
      <w:pPr>
        <w:spacing w:after="20"/>
      </w:pPr>
      <w:r>
        <w:rPr>
          <w:sz w:val="14"/>
          <w:szCs w:val="14"/>
        </w:rPr>
        <w:t xml:space="preserve">• The non-parametric bootstrap re-uses the same simulation ideas to produce approximate confidence intervals without analytic formulas.</w:t>
      </w:r>
    </w:p>
    <w:p>
      <w:pPr>
        <w:spacing w:after="20"/>
      </w:pPr>
      <w:r>
        <w:rPr>
          <w:sz w:val="14"/>
          <w:szCs w:val="14"/>
        </w:rPr>
        <w:t xml:space="preserve">• The identical workflow extends to power calculations, rare-event estimation, and simple randomization tests.</w:t>
      </w:r>
    </w:p>
    <w:p>
      <w:pPr>
        <w:spacing w:before="60"/>
        <w:jc w:val="center"/>
      </w:pPr>
      <w:r>
        <w:rPr>
          <w:color w:val="666666"/>
          <w:sz w:val="12"/>
          <w:szCs w:val="12"/>
        </w:rPr>
        <w:t xml:space="preserve">Files: Practice_Skeleton.ipynb  •  Solution.ipynb  •  flowchart.png  •  places_plots.png  •  Extended_Project.zip</w:t>
      </w:r>
    </w:p>
    <w:sectPr>
      <w:pgSz w:w="12240" w:h="15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e89723283b226ede77adb0b72b0079bdcc6f65.png"/><Relationship Id="rId8" Type="http://schemas.openxmlformats.org/officeDocument/2006/relationships/image" Target="media/6fe875ec6eb28909afed601aeab6fbd24b7790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2026-08-20T20:21:41.355Z</dcterms:created>
  <dcterms:modified xsi:type="dcterms:W3CDTF">2026-08-20T20:21:41.355Z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