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Problem Statement</w:t>
      </w:r>
    </w:p>
    <w:p>
      <w:pPr>
        <w:spacing w:after="70"/>
      </w:pPr>
      <w:r>
        <w:t xml:space="preserve">Economic research routinely combines heterogeneous objects: long time series for a single country, cross-indicator relationship matrices, nested country metadata, and rectangular panel data with categorical labels (region, income group). The task is to practise the four core R structures (vector, matrix, list, data frame + factor) on a realistic multi-country panel so that the same scientific workflow can be reproduced cleanly and extended.</w:t>
      </w:r>
    </w:p>
    <w:p>
      <w:pPr>
        <w:pStyle w:val="Heading1"/>
      </w:pPr>
      <w:r>
        <w:t xml:space="preserve">Solution Strategy</w:t>
      </w:r>
    </w:p>
    <w:p>
      <w:pPr>
        <w:spacing w:after="60"/>
      </w:pPr>
      <w:r>
        <w:t xml:space="preserve">1. Load panel → inspect dimensions. 2. Extract atomic vectors (country growth series, yearly averages). 3. Build correlation &amp; covariance matrices of the four numeric indicators. 4. Construct named lists / nested lists that bundle country identity with its series. 5. Promote region and income_group to factors (ordered for income). 6. Summarise by region with both dplyr and pure base-R. 7. Monte-Carlo: vary process volatility and record sampling variability of the estimated mean growth.</w:t>
      </w:r>
    </w:p>
    <w:p>
      <w:pPr>
        <w:pStyle w:val="Heading1"/>
      </w:pPr>
      <w:r>
        <w:t xml:space="preserve">Solution</w:t>
      </w:r>
    </w:p>
    <w:p>
      <w:pPr>
        <w:spacing w:after="40"/>
      </w:pPr>
      <w:r>
        <w:rPr>
          <w:b/>
          <w:bCs/>
        </w:rPr>
        <w:t xml:space="preserve">Key findings: </w:t>
      </w:r>
      <w:r>
        <w:t xml:space="preserve">Oceania (4.36 %) and Asia (3.36 %) show the highest average GDP growth; North America records the highest average inflation (5.22 %). Overall correlation between growth and inflation is modestly negative (–0.18). Ordered factors on income group and region factors enable clean group-wise analysis. Sampling SD of a 11-year mean scales linearly with the volatility of the underlying process.</w:t>
      </w:r>
    </w:p>
    <w:p>
      <w:pPr>
        <w:jc w:val="center"/>
      </w:pPr>
      <w:r>
        <w:drawing>
          <wp:inline distT="0" distB="0" distL="0" distR="0">
            <wp:extent cx="3619500" cy="2762250"/>
            <wp:effectExtent t="0" r="0" b="0" l="0"/>
            <wp:docPr id="1" name="f" descr="Flowchart" title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drawing>
          <wp:inline distT="0" distB="0" distL="0" distR="0">
            <wp:extent cx="3810000" cy="1905000"/>
            <wp:effectExtent t="0" r="0" b="0" l="0"/>
            <wp:docPr id="1" name="o" descr="Boxplots" title="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/>
        <w:jc w:val="center"/>
      </w:pPr>
      <w:r>
        <w:drawing>
          <wp:inline distT="0" distB="0" distL="0" distR="0">
            <wp:extent cx="3810000" cy="1905000"/>
            <wp:effectExtent t="0" r="0" b="0" l="0"/>
            <wp:docPr id="1" name="s" descr="Simulation" title="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Key Takeaways</w:t>
      </w:r>
    </w:p>
    <w:p>
      <w:pPr>
        <w:spacing w:after="30"/>
      </w:pPr>
      <w:r>
        <w:t xml:space="preserve">• Choose vectors for single series, matrices for linear relationships, lists for heterogeneous country objects, and data frames + factors for panel analysis.</w:t>
      </w:r>
    </w:p>
    <w:p>
      <w:pPr>
        <w:spacing w:after="30"/>
      </w:pPr>
      <w:r>
        <w:t xml:space="preserve">• Coercion and factor levels matter: ordered income groups preserve ranking; character region columns become factors for clean grouping.</w:t>
      </w:r>
    </w:p>
    <w:p>
      <w:pPr>
        <w:spacing w:after="30"/>
      </w:pPr>
      <w:r>
        <w:t xml:space="preserve">• Base-R (tapply / aggregate / split) and dplyr produce identical regional summaries — choose the style that matches audience code literacy.</w:t>
      </w:r>
    </w:p>
    <w:p>
      <w:pPr>
        <w:spacing w:after="30"/>
      </w:pPr>
      <w:r>
        <w:t xml:space="preserve">• Monte-Carlo confirms that the precision of estimated average growth deteriorates linearly with process volatility — useful for study-design decisions.</w:t>
      </w:r>
    </w:p>
    <w:sectPr>
      <w:headerReference w:type="default" r:id="rId7"/>
      <w:footerReference w:type="default" r:id="rId8"/>
      <w:pgSz w:w="11906" w:h="16838" w:orient="portrait"/>
      <w:pgMar w:top="480" w:right="550" w:bottom="480" w:left="5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Vectors • Matrices • Lists • Data Frames • Factors • Simulation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5"/>
        <w:szCs w:val="15"/>
      </w:rPr>
      <w:t xml:space="preserve">Economics Science — R Data Structures |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50" w:before="100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7daff9f4d4c21e57ba66f4b5ac0c1d3023bf7ca.png"/><Relationship Id="rId10" Type="http://schemas.openxmlformats.org/officeDocument/2006/relationships/image" Target="media/d86217f79e6a07750e90892fedc8a215f027f37e.png"/><Relationship Id="rId11" Type="http://schemas.openxmlformats.org/officeDocument/2006/relationships/image" Target="media/3c944630d7d755a3b2a89a7a5e6d460c1bd3c8d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2026-08-21T00:05:16.136Z</dcterms:created>
  <dcterms:modified xsi:type="dcterms:W3CDTF">2026-08-21T00:05:16.137Z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