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TO: </w:t>
      </w:r>
      <w:r>
        <w:t xml:space="preserve">Research economists, data scientists, policy analysts</w:t>
      </w:r>
    </w:p>
    <w:p>
      <w:r>
        <w:rPr>
          <w:b/>
          <w:bCs/>
        </w:rPr>
        <w:t xml:space="preserve">FROM: </w:t>
      </w:r>
      <w:r>
        <w:t xml:space="preserve">Analytics practice team</w:t>
      </w:r>
    </w:p>
    <w:p>
      <w:r>
        <w:rPr>
          <w:b/>
          <w:bCs/>
        </w:rPr>
        <w:t xml:space="preserve">RE: </w:t>
      </w:r>
      <w:r>
        <w:t xml:space="preserve">R data structures for multi-country economic panel analysis</w:t>
      </w:r>
    </w:p>
    <w:p>
      <w:pPr>
        <w:spacing w:after="160"/>
      </w:pPr>
      <w:r>
        <w:rPr>
          <w:b/>
          <w:bCs/>
        </w:rPr>
        <w:t xml:space="preserve">DATE: </w:t>
      </w:r>
      <w:r>
        <w:t xml:space="preserve">August 2026</w:t>
      </w:r>
    </w:p>
    <w:p>
      <w:pPr>
        <w:pStyle w:val="Heading1"/>
      </w:pPr>
      <w:r>
        <w:t xml:space="preserve">Research / Technical Summary</w:t>
      </w:r>
    </w:p>
    <w:p>
      <w:pPr>
        <w:spacing w:after="90"/>
      </w:pPr>
      <w:r>
        <w:t xml:space="preserve">A 10-country × 11-year panel is organised using the four core R structures. Atomic vectors hold individual series; correlation/covariance matrices summarise linear associations (growth–inflation ≈ –0.18); nested lists keep country identity and series together; data frames with ordered factors for income group and unordered factors for region enable clean group-wise analysis. Base-R and dplyr produce identical regional summaries. Monte-Carlo experiments show that the sampling standard deviation of an 11-year mean growth rate scales linearly with process volatility — a useful input for study-design and precision targeting.</w:t>
      </w:r>
    </w:p>
    <w:p>
      <w:pPr>
        <w:pStyle w:val="Heading1"/>
      </w:pPr>
      <w:r>
        <w:t xml:space="preserve">Policy / Non-specialist Summary</w:t>
      </w:r>
    </w:p>
    <w:p>
      <w:pPr>
        <w:spacing w:after="90"/>
      </w:pPr>
      <w:r>
        <w:t xml:space="preserve">When the same numbers are kept in a tidy country-year table we can quickly see that Oceania and Asia recorded the strongest average growth, while North America experienced higher average inflation. Grouping countries by income level also reveals differences in unemployment. Organising the data this way makes regional and income-group comparisons transparent and repeatable for decision makers.</w:t>
      </w:r>
    </w:p>
    <w:p>
      <w:pPr>
        <w:pStyle w:val="Heading1"/>
      </w:pPr>
      <w:r>
        <w:t xml:space="preserve">Audience Adaptation Applied</w:t>
      </w:r>
    </w:p>
    <w:p>
      <w:pPr>
        <w:spacing w:after="60"/>
      </w:pPr>
      <w:r>
        <w:t xml:space="preserve">Following technical-writing guidance on data literacy and subject knowledge: the research version retains matrix algebra language and simulation diagnostics; the policy version uses plain regional rankings and avoids code. Both versions share the same underlying objects so that a technical appendix can be attached when needed.</w:t>
      </w:r>
    </w:p>
    <w:sectPr>
      <w:headerReference w:type="default" r:id="rId7"/>
      <w:footerReference w:type="default" r:id="rId8"/>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Audience-adapted • Research &amp; Policy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INTERNAL MEMO — Economics Science Data Structures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4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2026-08-21T00:05:56.137Z</dcterms:created>
  <dcterms:modified xsi:type="dcterms:W3CDTF">2026-08-21T00:05:56.138Z</dcterms:modified>
</cp:coreProperties>
</file>

<file path=docProps/custom.xml><?xml version="1.0" encoding="utf-8"?>
<Properties xmlns="http://schemas.openxmlformats.org/officeDocument/2006/custom-properties" xmlns:vt="http://schemas.openxmlformats.org/officeDocument/2006/docPropsVTypes"/>
</file>