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4F72"/>
          <w:sz w:val="28"/>
          <w:szCs w:val="28"/>
        </w:rPr>
        <w:t xml:space="preserve">Economic Indicators Data Structures in R</w:t>
      </w:r>
    </w:p>
    <w:p>
      <w:pPr>
        <w:spacing w:after="120"/>
        <w:jc w:val="center"/>
      </w:pPr>
      <w:r>
        <w:rPr>
          <w:i/>
          <w:iCs/>
          <w:color w:val="555555"/>
          <w:sz w:val="16"/>
          <w:szCs w:val="16"/>
        </w:rPr>
        <w:t xml:space="preserve">Practice Project Summary — Vectors, Matrices, Lists &amp; Data Frames applied to Macroeconomic Analysis</w:t>
      </w:r>
    </w:p>
    <w:p>
      <w:pPr>
        <w:pStyle w:val="Heading1"/>
      </w:pPr>
      <w:r>
        <w:t xml:space="preserve">Problem Statement</w:t>
      </w:r>
    </w:p>
    <w:p>
      <w:pPr>
        <w:spacing w:after="60"/>
      </w:pPr>
      <w:r>
        <w:rPr>
          <w:rFonts w:ascii="Calibri" w:cs="Calibri" w:eastAsia="Calibri" w:hAnsi="Calibri"/>
          <w:b w:val="false"/>
          <w:bCs w:val="false"/>
          <w:i w:val="false"/>
          <w:iCs w:val="false"/>
          <w:color w:val="000000"/>
          <w:sz w:val="18"/>
          <w:szCs w:val="18"/>
        </w:rPr>
        <w:t xml:space="preserve">Junior economists and data technicians at policy institutions routinely need to organise time-series indicators (inflation, GDP growth, unemployment) and cross-country comparisons. Without a clear mental model of R’s core data structures they produce fragile, hard-to-maintain scripts. The learning goal is to master vectors (single series), matrices (homogeneous tables), lists (mixed briefing packages) and data frames (tabular dashboards) using realistic macroeconomic data for 2017–2026, while respecting audience differences (executives vs technicians).</w:t>
      </w:r>
    </w:p>
    <w:p>
      <w:pPr>
        <w:pStyle w:val="Heading1"/>
      </w:pPr>
      <w:r>
        <w:t xml:space="preserve">Solution Strategy</w:t>
      </w:r>
    </w:p>
    <w:p>
      <w:pPr>
        <w:spacing w:after="60"/>
      </w:pPr>
      <w:r>
        <w:rPr>
          <w:rFonts w:ascii="Calibri" w:cs="Calibri" w:eastAsia="Calibri" w:hAnsi="Calibri"/>
          <w:b w:val="false"/>
          <w:bCs w:val="false"/>
          <w:i w:val="false"/>
          <w:iCs w:val="false"/>
          <w:color w:val="000000"/>
          <w:sz w:val="18"/>
          <w:szCs w:val="18"/>
        </w:rPr>
        <w:t xml:space="preserve">1. Start with pure vectors for each indicator and for the year index; use both explicit c() and the colon/seq shortcuts.</w:t>
      </w:r>
    </w:p>
    <w:p>
      <w:pPr>
        <w:spacing w:after="60"/>
      </w:pPr>
      <w:r>
        <w:rPr>
          <w:rFonts w:ascii="Calibri" w:cs="Calibri" w:eastAsia="Calibri" w:hAnsi="Calibri"/>
          <w:b w:val="false"/>
          <w:bCs w:val="false"/>
          <w:i w:val="false"/>
          <w:iCs w:val="false"/>
          <w:color w:val="000000"/>
          <w:sz w:val="18"/>
          <w:szCs w:val="18"/>
        </w:rPr>
        <w:t xml:space="preserve">2. Practise indexing (positional, range, logical) and in-place modification to correct typos and impose policy floors/ceilings.</w:t>
      </w:r>
    </w:p>
    <w:p>
      <w:pPr>
        <w:spacing w:after="60"/>
      </w:pPr>
      <w:r>
        <w:rPr>
          <w:rFonts w:ascii="Calibri" w:cs="Calibri" w:eastAsia="Calibri" w:hAnsi="Calibri"/>
          <w:b w:val="false"/>
          <w:bCs w:val="false"/>
          <w:i w:val="false"/>
          <w:iCs w:val="false"/>
          <w:color w:val="000000"/>
          <w:sz w:val="18"/>
          <w:szCs w:val="18"/>
        </w:rPr>
        <w:t xml:space="preserve">3. Construct matrices for multi-country or multi-period numeric tables, exploiting recycling.</w:t>
      </w:r>
    </w:p>
    <w:p>
      <w:pPr>
        <w:spacing w:after="60"/>
      </w:pPr>
      <w:r>
        <w:rPr>
          <w:rFonts w:ascii="Calibri" w:cs="Calibri" w:eastAsia="Calibri" w:hAnsi="Calibri"/>
          <w:b w:val="false"/>
          <w:bCs w:val="false"/>
          <w:i w:val="false"/>
          <w:iCs w:val="false"/>
          <w:color w:val="000000"/>
          <w:sz w:val="18"/>
          <w:szCs w:val="18"/>
        </w:rPr>
        <w:t xml:space="preserve">4. Package heterogeneous objects (region name + numeric forecast + recent vector + logical flag) into lists.</w:t>
      </w:r>
    </w:p>
    <w:p>
      <w:pPr>
        <w:spacing w:after="60"/>
      </w:pPr>
      <w:r>
        <w:rPr>
          <w:rFonts w:ascii="Calibri" w:cs="Calibri" w:eastAsia="Calibri" w:hAnsi="Calibri"/>
          <w:b w:val="false"/>
          <w:bCs w:val="false"/>
          <w:i w:val="false"/>
          <w:iCs w:val="false"/>
          <w:color w:val="000000"/>
          <w:sz w:val="18"/>
          <w:szCs w:val="18"/>
        </w:rPr>
        <w:t xml:space="preserve">5. Assemble equal-length columns into a data frame that becomes the canonical reporting object.</w:t>
      </w:r>
    </w:p>
    <w:p>
      <w:pPr>
        <w:spacing w:after="60"/>
      </w:pPr>
      <w:r>
        <w:rPr>
          <w:rFonts w:ascii="Calibri" w:cs="Calibri" w:eastAsia="Calibri" w:hAnsi="Calibri"/>
          <w:b w:val="false"/>
          <w:bCs w:val="false"/>
          <w:i w:val="false"/>
          <w:iCs w:val="false"/>
          <w:color w:val="000000"/>
          <w:sz w:val="18"/>
          <w:szCs w:val="18"/>
        </w:rPr>
        <w:t xml:space="preserve">6. Add a parameterised simulation that applies an inflation shock and a floor, returning mean, max and delta — the language executives need.</w:t>
      </w:r>
    </w:p>
    <w:p>
      <w:pPr>
        <w:spacing w:after="60"/>
      </w:pPr>
      <w:r>
        <w:rPr>
          <w:rFonts w:ascii="Calibri" w:cs="Calibri" w:eastAsia="Calibri" w:hAnsi="Calibri"/>
          <w:b w:val="false"/>
          <w:bCs w:val="false"/>
          <w:i w:val="false"/>
          <w:iCs w:val="false"/>
          <w:color w:val="000000"/>
          <w:sz w:val="18"/>
          <w:szCs w:val="18"/>
        </w:rPr>
        <w:t xml:space="preserve">Audience adaptation follows the technical-writing guidelines: the 1-page report and high-level deltas target primary (client) and executive readers; the full notebooks and cheatsheet serve the technical supervisor.</w:t>
      </w:r>
    </w:p>
    <w:p>
      <w:pPr>
        <w:pStyle w:val="Heading1"/>
      </w:pPr>
      <w:r>
        <w:t xml:space="preserve">Solution</w:t>
      </w:r>
    </w:p>
    <w:p>
      <w:pPr>
        <w:spacing w:after="60"/>
      </w:pPr>
      <w:r>
        <w:rPr>
          <w:rFonts w:ascii="Calibri" w:cs="Calibri" w:eastAsia="Calibri" w:hAnsi="Calibri"/>
          <w:b w:val="false"/>
          <w:bCs w:val="false"/>
          <w:i w:val="false"/>
          <w:iCs w:val="false"/>
          <w:color w:val="000000"/>
          <w:sz w:val="18"/>
          <w:szCs w:val="18"/>
        </w:rPr>
        <w:t xml:space="preserve">All core operations were implemented and verified:</w:t>
      </w:r>
    </w:p>
    <w:p>
      <w:pPr>
        <w:spacing w:after="60"/>
      </w:pPr>
      <w:r>
        <w:rPr>
          <w:rFonts w:ascii="Calibri" w:cs="Calibri" w:eastAsia="Calibri" w:hAnsi="Calibri"/>
          <w:b w:val="false"/>
          <w:bCs w:val="false"/>
          <w:i w:val="false"/>
          <w:iCs w:val="false"/>
          <w:color w:val="000000"/>
          <w:sz w:val="18"/>
          <w:szCs w:val="18"/>
        </w:rPr>
        <w:t xml:space="preserve">• years / years2 (2017:2026)  • inflation vector of length 10  • logical floor on quarterly GDP growth  • 5×4 zero matrix and 3×6 alternating policy-stance matrix  • named and unnamed country briefing lists  • macro_df data frame with year, inflation, gdp_growth, unemployment  • simulation function returning shocked series + statistics.</w:t>
      </w:r>
    </w:p>
    <w:p>
      <w:pPr>
        <w:spacing w:after="60"/>
      </w:pPr>
      <w:r>
        <w:rPr>
          <w:rFonts w:ascii="Calibri" w:cs="Calibri" w:eastAsia="Calibri" w:hAnsi="Calibri"/>
          <w:b w:val="false"/>
          <w:bCs w:val="false"/>
          <w:i w:val="false"/>
          <w:iCs w:val="false"/>
          <w:color w:val="000000"/>
          <w:sz w:val="18"/>
          <w:szCs w:val="18"/>
        </w:rPr>
        <w:t xml:space="preserve">Alternate idioms (pmax, named vectors, byrow=TRUE, as.data.frame(list)) were supplied so learners see multiple correct paths to the same economic result.</w:t>
      </w:r>
    </w:p>
    <w:p>
      <w:pPr>
        <w:spacing w:after="60"/>
      </w:pPr>
      <w:r>
        <w:rPr>
          <w:rFonts w:ascii="Calibri" w:cs="Calibri" w:eastAsia="Calibri" w:hAnsi="Calibri"/>
          <w:b w:val="false"/>
          <w:bCs w:val="false"/>
          <w:i w:val="false"/>
          <w:iCs w:val="false"/>
          <w:color w:val="000000"/>
          <w:sz w:val="18"/>
          <w:szCs w:val="18"/>
        </w:rPr>
        <w:t xml:space="preserve">Flowchart (included in both notebooks) maps the exact sequence from raw vectors to the final dashboard, reinforcing the recommended workflow for any new macroeconomic dataset.</w:t>
      </w:r>
    </w:p>
    <w:p>
      <w:pPr>
        <w:pStyle w:val="Heading1"/>
      </w:pPr>
      <w:r>
        <w:t xml:space="preserve">Key Takeaways</w:t>
      </w:r>
    </w:p>
    <w:p>
      <w:pPr>
        <w:spacing w:after="60"/>
      </w:pPr>
      <w:r>
        <w:rPr>
          <w:rFonts w:ascii="Calibri" w:cs="Calibri" w:eastAsia="Calibri" w:hAnsi="Calibri"/>
          <w:b w:val="false"/>
          <w:bCs w:val="false"/>
          <w:i w:val="false"/>
          <w:iCs w:val="false"/>
          <w:color w:val="000000"/>
          <w:sz w:val="18"/>
          <w:szCs w:val="18"/>
        </w:rPr>
        <w:t xml:space="preserve">1. Vectors are the natural container for any single economic time series; master logical indexing early — it is the cleanest way to impose floors, replace outliers or select regimes.</w:t>
      </w:r>
    </w:p>
    <w:p>
      <w:pPr>
        <w:spacing w:after="60"/>
      </w:pPr>
      <w:r>
        <w:rPr>
          <w:rFonts w:ascii="Calibri" w:cs="Calibri" w:eastAsia="Calibri" w:hAnsi="Calibri"/>
          <w:b w:val="false"/>
          <w:bCs w:val="false"/>
          <w:i w:val="false"/>
          <w:iCs w:val="false"/>
          <w:color w:val="000000"/>
          <w:sz w:val="18"/>
          <w:szCs w:val="18"/>
        </w:rPr>
        <w:t xml:space="preserve">2. Matrices remain valuable for homogeneous numeric comparison tables that later feed simple linear algebra or heat-map visualisations.</w:t>
      </w:r>
    </w:p>
    <w:p>
      <w:pPr>
        <w:spacing w:after="60"/>
      </w:pPr>
      <w:r>
        <w:rPr>
          <w:rFonts w:ascii="Calibri" w:cs="Calibri" w:eastAsia="Calibri" w:hAnsi="Calibri"/>
          <w:b w:val="false"/>
          <w:bCs w:val="false"/>
          <w:i w:val="false"/>
          <w:iCs w:val="false"/>
          <w:color w:val="000000"/>
          <w:sz w:val="18"/>
          <w:szCs w:val="18"/>
        </w:rPr>
        <w:t xml:space="preserve">3. Lists let you ship a complete briefing package (text + numbers + flags) without forcing everything into a rectangular shape.</w:t>
      </w:r>
    </w:p>
    <w:p>
      <w:pPr>
        <w:spacing w:after="60"/>
      </w:pPr>
      <w:r>
        <w:rPr>
          <w:rFonts w:ascii="Calibri" w:cs="Calibri" w:eastAsia="Calibri" w:hAnsi="Calibri"/>
          <w:b w:val="false"/>
          <w:bCs w:val="false"/>
          <w:i w:val="false"/>
          <w:iCs w:val="false"/>
          <w:color w:val="000000"/>
          <w:sz w:val="18"/>
          <w:szCs w:val="18"/>
        </w:rPr>
        <w:t xml:space="preserve">4. Data frames are the lingua franca of economic data; the $ extractor and summary() are the daily tools of the trade.</w:t>
      </w:r>
    </w:p>
    <w:p>
      <w:pPr>
        <w:spacing w:after="60"/>
      </w:pPr>
      <w:r>
        <w:rPr>
          <w:rFonts w:ascii="Calibri" w:cs="Calibri" w:eastAsia="Calibri" w:hAnsi="Calibri"/>
          <w:b w:val="false"/>
          <w:bCs w:val="false"/>
          <w:i w:val="false"/>
          <w:iCs w:val="false"/>
          <w:color w:val="000000"/>
          <w:sz w:val="18"/>
          <w:szCs w:val="18"/>
        </w:rPr>
        <w:t xml:space="preserve">5. Always keep an untouched copy of the original series before scenario shocks; the resulting delta is the single number most executives will remember.</w:t>
      </w:r>
    </w:p>
    <w:p>
      <w:pPr>
        <w:spacing w:after="60"/>
      </w:pPr>
      <w:r>
        <w:rPr>
          <w:rFonts w:ascii="Calibri" w:cs="Calibri" w:eastAsia="Calibri" w:hAnsi="Calibri"/>
          <w:b w:val="false"/>
          <w:bCs w:val="false"/>
          <w:i w:val="false"/>
          <w:iCs w:val="false"/>
          <w:color w:val="000000"/>
          <w:sz w:val="18"/>
          <w:szCs w:val="18"/>
        </w:rPr>
        <w:t xml:space="preserve">6. Code that is written with the audience in mind (clear names, short comments, simulation parameters at the top) travels farther inside a policy institution.</w:t>
      </w:r>
    </w:p>
    <w:p>
      <w:pPr>
        <w:spacing w:before="100"/>
      </w:pPr>
      <w:r>
        <w:rPr>
          <w:i/>
          <w:iCs/>
          <w:color w:val="444444"/>
          <w:sz w:val="15"/>
          <w:szCs w:val="15"/>
        </w:rPr>
        <w:t xml:space="preserve">Deliverables: Practice_Skeleton.ipynb  •  Solution.ipynb  •  Cheatsheet.docx  •  Flowchart.png  •  this 1-page report. All materials are audience-aware and ready for classroom or internal training use.</w:t>
      </w:r>
    </w:p>
    <w:sectPr>
      <w:headerReference w:type="default" r:id="rId7"/>
      <w:footerReference w:type="default" r:id="rId8"/>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2"/>
        <w:szCs w:val="12"/>
      </w:rPr>
      <w:t xml:space="preserve">Audience-adapted internal briefing  •  Primary: policy collaborator  •  Secondary: technical supervisor  •  </w:t>
    </w:r>
    <w:r>
      <w:rPr>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4"/>
        <w:szCs w:val="14"/>
      </w:rPr>
      <w:t xml:space="preserve">Economic Indicators Data Structures in R  |  1-Page 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60" w:before="120"/>
      <w:outlineLvl w:val="0"/>
    </w:pPr>
    <w:rPr>
      <w:rFonts w:ascii="Calibri" w:cs="Calibri" w:eastAsia="Calibri" w:hAnsi="Calibri"/>
      <w:b/>
      <w:bCs/>
      <w:color w:val="1B4F72"/>
      <w:sz w:val="24"/>
      <w:szCs w:val="24"/>
    </w:rPr>
  </w:style>
  <w:style w:type="paragraph" w:styleId="Heading2">
    <w:name w:val="Heading 2"/>
    <w:basedOn w:val="Normal"/>
    <w:pPr>
      <w:spacing w:after="40" w:before="100"/>
      <w:outlineLvl w:val="1"/>
    </w:pPr>
    <w:rPr>
      <w:rFonts w:ascii="Calibri" w:cs="Calibri" w:eastAsia="Calibri" w:hAnsi="Calibri"/>
      <w:b/>
      <w:bCs/>
      <w:color w:val="2874A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2026-08-20T16:22:53.187Z</dcterms:created>
  <dcterms:modified xsi:type="dcterms:W3CDTF">2026-08-20T16:22:53.187Z</dcterms:modified>
</cp:coreProperties>
</file>

<file path=docProps/custom.xml><?xml version="1.0" encoding="utf-8"?>
<Properties xmlns="http://schemas.openxmlformats.org/officeDocument/2006/custom-properties" xmlns:vt="http://schemas.openxmlformats.org/officeDocument/2006/docPropsVTypes"/>
</file>