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B4F72"/>
          <w:sz w:val="32"/>
          <w:szCs w:val="32"/>
        </w:rPr>
        <w:t xml:space="preserve">PROJECT MEMO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To: Training &amp; Curriculum Leads, Economics &amp; Data Teams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From: Learning Design (R Data Structures track)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Date: August 2026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Re: Audience-adapted practice project — Macroeconomic Indicators using base-R data structures</w:t>
      </w:r>
    </w:p>
    <w:p>
      <w:pPr>
        <w:pStyle w:val="Heading1"/>
      </w:pPr>
      <w:r>
        <w:rPr>
          <w:b/>
          <w:bCs/>
          <w:color w:val="1B4F72"/>
          <w:sz w:val="22"/>
          <w:szCs w:val="22"/>
        </w:rPr>
        <w:t xml:space="preserve">1. Purpose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This memo documents the audience analysis performed before designing the Economic Indicators R practice project, following the principles in “What to Consider When Considering the Audience” and the classic technical-writing audience taxonomy (Experts / Technicians / Executives / Nonspecialists).</w:t>
      </w:r>
    </w:p>
    <w:p>
      <w:pPr>
        <w:pStyle w:val="Heading1"/>
      </w:pPr>
      <w:r>
        <w:rPr>
          <w:b/>
          <w:bCs/>
          <w:color w:val="1B4F72"/>
          <w:sz w:val="22"/>
          <w:szCs w:val="22"/>
        </w:rPr>
        <w:t xml:space="preserve">2. Primary Audiences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• Junior economists / research assistants (Technician–Expert continuum): already comfortable with basic R assignment and arithmetic; need structured practice with vectors → matrices → lists → data frames applied to the indicators they actually handle (inflation, growth, unemployment).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• Data technicians supporting the Economics department: same technical level, slightly less subject-matter depth; benefit from explicit economic glosses and the simulation section that shows why the structures matter for scenario work.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• Secondary readers: mid-level managers and technical supervisors who may skim the 1-page summary or the Solution notebook for quality control.</w:t>
      </w:r>
    </w:p>
    <w:p>
      <w:pPr>
        <w:pStyle w:val="Heading1"/>
      </w:pPr>
      <w:r>
        <w:rPr>
          <w:b/>
          <w:bCs/>
          <w:color w:val="1B4F72"/>
          <w:sz w:val="22"/>
          <w:szCs w:val="22"/>
        </w:rPr>
        <w:t xml:space="preserve">3. Audience Characteristics Applied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Data literacy: Intermediate. Therefore the notebooks avoid advanced statistical concepts and focus purely on data-structure mechanics with economic labels.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Subject knowledge: Mixed. Abbreviations such as GDP are left unexplained (experts already know them); the meaning of a “floor” on growth rates is briefly motivated so nonspecialists are not lost.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Time span / attention: The Practice Skeleton is chunked into short tasks; the 1-page report is deliberately one page so executives can extract the headlines in &lt; 3 minutes.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Mixed audience handling: Clear section headings and a flowchart let different readers jump to the level of detail they need (echoing the “Write for Your Reader” guidance).</w:t>
      </w:r>
    </w:p>
    <w:p>
      <w:pPr>
        <w:pStyle w:val="Heading1"/>
      </w:pPr>
      <w:r>
        <w:rPr>
          <w:b/>
          <w:bCs/>
          <w:color w:val="1B4F72"/>
          <w:sz w:val="22"/>
          <w:szCs w:val="22"/>
        </w:rPr>
        <w:t xml:space="preserve">4. Adaptation Decisions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• Skeleton vs Solution separation lets learners struggle productively then self-correct — preferred pedagogical pattern for technician audiences.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• Alternate code blocks and a simulation function give experts room to explore while still giving clear “canonical” answers for novices.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• Cheatsheet is formatted as a dense reference table (not prose) because technicians and experts prefer lookup speed over narrative.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• 1-page report follows the data-analysis-report structure recommended for multi-audience documents: Problem → Strategy → Solution → Takeaways, with signposts for skimmers.</w:t>
      </w:r>
    </w:p>
    <w:p>
      <w:pPr>
        <w:pStyle w:val="Heading1"/>
      </w:pPr>
      <w:r>
        <w:rPr>
          <w:b/>
          <w:bCs/>
          <w:color w:val="1B4F72"/>
          <w:sz w:val="22"/>
          <w:szCs w:val="22"/>
        </w:rPr>
        <w:t xml:space="preserve">5. Recommendation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Deploy the full package (Skeleton, Solution, Cheatsheet, Flowchart, 1-page Report, this Memo) as a self-contained 90–120 minute module inside the internal R-for-Economists curriculum. The materials already embody the audience-analysis checklist and can be reused or lightly re-themed for other indicator sets (fiscal balances, trade volumes, etc.).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Audience Analysis applied to R Data-Structures Training  • 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555555"/>
        <w:sz w:val="16"/>
        <w:szCs w:val="16"/>
      </w:rPr>
      <w:t xml:space="preserve">Internal Training Memo — Economic Indicators R Practice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2026-08-20T16:23:16.319Z</dcterms:created>
  <dcterms:modified xsi:type="dcterms:W3CDTF">2026-08-20T16:23:16.319Z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