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Variance &amp; Standard Deviation in R</w:t>
      </w:r>
    </w:p>
    <w:p>
      <w:pPr>
        <w:pStyle w:val="Heading2"/>
      </w:pPr>
      <w:r>
        <w:t xml:space="preserve">Problem Statement</w:t>
      </w:r>
    </w:p>
    <w:p>
      <w:pPr>
        <w:spacing w:after="40"/>
      </w:pPr>
      <w:r>
        <w:rPr>
          <w:sz w:val="17"/>
          <w:szCs w:val="17"/>
        </w:rPr>
        <w:t xml:space="preserve">Variance quantifies spread but is expressed in squared units, making it hard to interpret next to the mean. Two distributions can share a similar centre yet differ dramatically in dispersion (teacher grades; NBA vs OkCupid heights). We need a scale-matched measure (standard deviation) and a way to say how unusual any single observation is (z-score / empirical rule).</w:t>
      </w:r>
    </w:p>
    <w:p>
      <w:pPr>
        <w:pStyle w:val="Heading2"/>
      </w:pPr>
      <w:r>
        <w:t xml:space="preserve">Solution Strategy</w:t>
      </w:r>
    </w:p>
    <w:p>
      <w:pPr>
        <w:spacing w:after="40"/>
      </w:pPr>
      <w:r>
        <w:rPr>
          <w:sz w:val="17"/>
          <w:szCs w:val="17"/>
        </w:rPr>
        <w:t xml:space="preserve">1. Recap population variance from first principles. 2. Take the square root to obtain standard deviation (original units). 3. Contrast R’s sample sd()/var() with population formulae. 4. Compute z-scores for LeBron (80 in) and Earl Boykins (65 in) against both height distributions. 5. Verify the empirical rule (~68/95/99.7 %). 6. Supply alternates, practice, Monte-Carlo coverage simulation, and audience-adapted messaging.</w:t>
      </w:r>
    </w:p>
    <w:p>
      <w:pPr>
        <w:pStyle w:val="Heading2"/>
      </w:pPr>
      <w:r>
        <w:t xml:space="preserve">Solution</w:t>
      </w:r>
    </w:p>
    <w:p>
      <w:pPr>
        <w:spacing w:after="30"/>
      </w:pPr>
      <w:r>
        <w:rPr>
          <w:sz w:val="17"/>
          <w:szCs w:val="17"/>
        </w:rPr>
        <w:t xml:space="preserve">Teachers — T1: μ≈84.5, σ≈2.1 (tight); T2: μ≈84.3, σ≈9.0 (wide). Heights — NBA: μ≈77.9, sd≈3.6; OkCupid: μ≈69.2, sd≈4.1. LeBron z: +0.58 (NBA) vs +2.62 (OkC). Boykins z: −3.63 (NBA) vs −1.02 (OkC). Empirical coverage on data ≈ 0.66–0.68 / 0.95 / 0.99; simulation recovers 0.68 / 0.96 / 1.00.</w:t>
      </w:r>
    </w:p>
    <w:p>
      <w:pPr>
        <w:spacing w:after="20"/>
      </w:pPr>
      <w:r>
        <w:rPr>
          <w:b/>
          <w:bCs/>
          <w:sz w:val="16"/>
          <w:szCs w:val="16"/>
        </w:rPr>
        <w:t xml:space="preserve">Height distributions:</w:t>
      </w:r>
    </w:p>
    <w:p>
      <w:pPr>
        <w:spacing w:after="40"/>
        <w:jc w:val="center"/>
      </w:pPr>
      <w:r>
        <w:drawing>
          <wp:inline distT="0" distB="0" distL="0" distR="0">
            <wp:extent cx="3619500" cy="2095500"/>
            <wp:effectExtent t="0" r="0" b="0" l="0"/>
            <wp:docPr id="1" descr="NBA vs OkCupid" title="he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bCs/>
          <w:sz w:val="16"/>
          <w:szCs w:val="16"/>
        </w:rPr>
        <w:t xml:space="preserve">Monte-Carlo ±1 SD coverage:</w:t>
      </w:r>
    </w:p>
    <w:p>
      <w:pPr>
        <w:spacing w:after="40"/>
        <w:jc w:val="center"/>
      </w:pPr>
      <w:r>
        <w:drawing>
          <wp:inline distT="0" distB="0" distL="0" distR="0">
            <wp:extent cx="3619500" cy="1905000"/>
            <wp:effectExtent t="0" r="0" b="0" l="0"/>
            <wp:docPr id="1" descr="coverage" title="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Takeaways</w:t>
      </w:r>
    </w:p>
    <w:p>
      <w:pPr>
        <w:spacing w:after="15"/>
      </w:pPr>
      <w:r>
        <w:rPr>
          <w:sz w:val="16"/>
          <w:szCs w:val="16"/>
        </w:rPr>
        <w:t xml:space="preserve">• Variance is in squared units; SD restores the original units of the data.</w:t>
      </w:r>
    </w:p>
    <w:p>
      <w:pPr>
        <w:spacing w:after="15"/>
      </w:pPr>
      <w:r>
        <w:rPr>
          <w:sz w:val="16"/>
          <w:szCs w:val="16"/>
        </w:rPr>
        <w:t xml:space="preserve">• z = (x − μ) / σ measures how many SDs a point lies from the mean.</w:t>
      </w:r>
    </w:p>
    <w:p>
      <w:pPr>
        <w:spacing w:after="15"/>
      </w:pPr>
      <w:r>
        <w:rPr>
          <w:sz w:val="16"/>
          <w:szCs w:val="16"/>
        </w:rPr>
        <w:t xml:space="preserve">• ≈68 % / 95 % / 99.7 % of (near-normal) data fall within ±1 / ±2 / ±3 SD.</w:t>
      </w:r>
    </w:p>
    <w:p>
      <w:pPr>
        <w:spacing w:after="15"/>
      </w:pPr>
      <w:r>
        <w:rPr>
          <w:sz w:val="16"/>
          <w:szCs w:val="16"/>
        </w:rPr>
        <w:t xml:space="preserve">• The same absolute difference can be ordinary in a wide distribution and extreme in a narrow one.</w:t>
      </w:r>
    </w:p>
    <w:p>
      <w:pPr>
        <w:spacing w:after="15"/>
      </w:pPr>
      <w:r>
        <w:rPr>
          <w:sz w:val="16"/>
          <w:szCs w:val="16"/>
        </w:rPr>
        <w:t xml:space="preserve">• Prefer SD (or z-scores) over raw variance when communicating to any audience; adapt depth for analysts vs non-specialists.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4"/>
        <w:szCs w:val="14"/>
      </w:rPr>
      <w:t xml:space="preserve">Variance &amp; Standard Deviation in R —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8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30" w:before="60"/>
      <w:outlineLvl w:val="1"/>
    </w:pPr>
    <w:rPr>
      <w:rFonts w:ascii="Arial" w:cs="Arial" w:eastAsia="Arial" w:hAnsi="Arial"/>
      <w:b/>
      <w:bCs/>
      <w:color w:val="2c528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b2d29579961fb0bbef9c2f7baeb279cb10a6d0.png"/><Relationship Id="rId10" Type="http://schemas.openxmlformats.org/officeDocument/2006/relationships/image" Target="media/05eb82ff49e1684826cc66a046023c5d587dd8c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2026-08-20T23:25:15.785Z</dcterms:created>
  <dcterms:modified xsi:type="dcterms:W3CDTF">2026-08-20T23:25:15.785Z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