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MEMORANDUM</w:t>
      </w:r>
    </w:p>
    <w:p>
      <w:pPr>
        <w:spacing w:after="30"/>
      </w:pPr>
      <w:r>
        <w:rPr>
          <w:sz w:val="17"/>
          <w:szCs w:val="17"/>
        </w:rPr>
        <w:t xml:space="preserve">To: Analytics / Product / Curriculum Leadership</w:t>
      </w:r>
    </w:p>
    <w:p>
      <w:pPr>
        <w:spacing w:after="30"/>
      </w:pPr>
      <w:r>
        <w:rPr>
          <w:sz w:val="17"/>
          <w:szCs w:val="17"/>
        </w:rPr>
        <w:t xml:space="preserve">From: Data Practice Team</w:t>
      </w:r>
    </w:p>
    <w:p>
      <w:pPr>
        <w:spacing w:after="30"/>
      </w:pPr>
      <w:r>
        <w:rPr>
          <w:sz w:val="17"/>
          <w:szCs w:val="17"/>
        </w:rPr>
        <w:t xml:space="preserve">Re: Variance → Standard Deviation — Interpreting Spread &amp; Unusual Observations</w:t>
      </w:r>
    </w:p>
    <w:p>
      <w:pPr>
        <w:spacing w:after="80"/>
      </w:pPr>
      <w:r>
        <w:rPr>
          <w:sz w:val="17"/>
          <w:szCs w:val="17"/>
        </w:rPr>
        <w:t xml:space="preserve">Date: August 2026</w:t>
      </w:r>
    </w:p>
    <w:p>
      <w:pPr>
        <w:pStyle w:val="Heading2"/>
      </w:pPr>
      <w:r>
        <w:t xml:space="preserve">Purpose</w:t>
      </w:r>
    </w:p>
    <w:p>
      <w:pPr>
        <w:spacing w:after="40"/>
      </w:pPr>
      <w:r>
        <w:rPr>
          <w:sz w:val="17"/>
          <w:szCs w:val="17"/>
        </w:rPr>
        <w:t xml:space="preserve">This memo accompanies the extended Variance &amp; Standard Deviation project. It shows how to move from variance (squared units) to standard deviation and z-scores so that stakeholders can judge how unusual a value is, and how messaging should differ by audience.</w:t>
      </w:r>
    </w:p>
    <w:p>
      <w:pPr>
        <w:pStyle w:val="Heading2"/>
      </w:pPr>
      <w:r>
        <w:t xml:space="preserve">Shared facts</w:t>
      </w:r>
    </w:p>
    <w:p>
      <w:pPr>
        <w:spacing w:after="40"/>
      </w:pPr>
      <w:r>
        <w:rPr>
          <w:sz w:val="17"/>
          <w:szCs w:val="17"/>
        </w:rPr>
        <w:t xml:space="preserve">Teacher classes share a mean ≈84 % but differ by a factor of ~4 in SD (2.1 vs 9.0). NBA heights (μ≈78, sd≈3.6) are tighter than OkCupid heights (μ≈69, sd≈4.1). LeBron (80 in) is ordinary in the NBA (+0.6 SD) but rare on OkCupid (+2.6 SD). Boykins (65 in) is extreme in the NBA (−3.6 SD) yet only mildly short on OkCupid (−1.0 SD).</w:t>
      </w:r>
    </w:p>
    <w:p>
      <w:pPr>
        <w:pStyle w:val="Heading2"/>
      </w:pPr>
      <w:r>
        <w:t xml:space="preserve">Message for analysts / technical supervisors</w:t>
      </w:r>
    </w:p>
    <w:p>
      <w:pPr>
        <w:spacing w:after="40"/>
      </w:pPr>
      <w:r>
        <w:rPr>
          <w:sz w:val="17"/>
          <w:szCs w:val="17"/>
        </w:rPr>
        <w:t xml:space="preserve">Report both population and sample SD when N is modest; prefer consistent use of sd() (sample) for z-scores. Quote the empirical coverage on the actual samples and the Monte-Carlo recovery of the 68/95/99.7 rule. Emphasise that z-scores allow direct comparison of rarity across distributions with different centres and spreads.</w:t>
      </w:r>
    </w:p>
    <w:p>
      <w:pPr>
        <w:pStyle w:val="Heading2"/>
      </w:pPr>
      <w:r>
        <w:t xml:space="preserve">Message for non-specialists / product / educators</w:t>
      </w:r>
    </w:p>
    <w:p>
      <w:pPr>
        <w:spacing w:after="40"/>
      </w:pPr>
      <w:r>
        <w:rPr>
          <w:sz w:val="17"/>
          <w:szCs w:val="17"/>
        </w:rPr>
        <w:t xml:space="preserve">“Both classes average about 84 %. One is highly consistent; the other has students both excelling and struggling.” For heights: “80 inches is a normal NBA height but would stand out sharply on a dating app. 65 inches is unusually short for the NBA but sits near the lower end of a typical adult height distribution.” Always show the side-by-side histogram; avoid formula notation unless asked.</w:t>
      </w:r>
    </w:p>
    <w:p>
      <w:pPr>
        <w:pStyle w:val="Heading2"/>
      </w:pPr>
      <w:r>
        <w:t xml:space="preserve">Recommended next steps</w:t>
      </w:r>
    </w:p>
    <w:p>
      <w:pPr>
        <w:spacing w:after="15"/>
      </w:pPr>
      <w:r>
        <w:rPr>
          <w:sz w:val="17"/>
          <w:szCs w:val="17"/>
        </w:rPr>
        <w:t xml:space="preserve">• Circulate the 1-page summary and flowchart with any height- or grade-related findings.</w:t>
      </w:r>
    </w:p>
    <w:p>
      <w:pPr>
        <w:spacing w:after="15"/>
      </w:pPr>
      <w:r>
        <w:rPr>
          <w:sz w:val="17"/>
          <w:szCs w:val="17"/>
        </w:rPr>
        <w:t xml:space="preserve">• For mixed audiences lead with the plain-language frame and place z-score details in an appendix.</w:t>
      </w:r>
    </w:p>
    <w:p>
      <w:pPr>
        <w:spacing w:after="15"/>
      </w:pPr>
      <w:r>
        <w:rPr>
          <w:sz w:val="17"/>
          <w:szCs w:val="17"/>
        </w:rPr>
        <w:t xml:space="preserve">• Use the simulation section to let stakeholders explore coverage under different sample sizes or true SDs.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1a365d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30" w:before="80"/>
      <w:outlineLvl w:val="1"/>
    </w:pPr>
    <w:rPr>
      <w:rFonts w:ascii="Arial" w:cs="Arial" w:eastAsia="Arial" w:hAnsi="Arial"/>
      <w:b/>
      <w:bCs/>
      <w:color w:val="2c528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2026-08-20T23:25:15.796Z</dcterms:created>
  <dcterms:modified xsi:type="dcterms:W3CDTF">2026-08-20T23:25:15.796Z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