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MEMORANDUM</w:t>
      </w:r>
    </w:p>
    <w:p>
      <w:pPr>
        <w:spacing w:after="40"/>
      </w:pPr>
      <w:r>
        <w:rPr>
          <w:sz w:val="18"/>
          <w:szCs w:val="18"/>
        </w:rPr>
        <w:t xml:space="preserve">To: Curriculum / Analytics Leadership</w:t>
      </w:r>
    </w:p>
    <w:p>
      <w:pPr>
        <w:spacing w:after="40"/>
      </w:pPr>
      <w:r>
        <w:rPr>
          <w:sz w:val="18"/>
          <w:szCs w:val="18"/>
        </w:rPr>
        <w:t xml:space="preserve">From: Data Practice Team</w:t>
      </w:r>
    </w:p>
    <w:p>
      <w:pPr>
        <w:spacing w:after="40"/>
      </w:pPr>
      <w:r>
        <w:rPr>
          <w:sz w:val="18"/>
          <w:szCs w:val="18"/>
        </w:rPr>
        <w:t xml:space="preserve">Re: Interpreting Class-Grade Variance — Audience-Adapted Guidance</w:t>
      </w:r>
    </w:p>
    <w:p>
      <w:pPr>
        <w:spacing w:after="120"/>
      </w:pPr>
      <w:r>
        <w:rPr>
          <w:sz w:val="18"/>
          <w:szCs w:val="18"/>
        </w:rPr>
        <w:t xml:space="preserve">Date: August 2026</w:t>
      </w:r>
    </w:p>
    <w:p>
      <w:pPr>
        <w:pStyle w:val="Heading2"/>
      </w:pPr>
      <w:r>
        <w:t xml:space="preserve">Purpose</w:t>
      </w:r>
    </w:p>
    <w:p>
      <w:pPr>
        <w:spacing w:after="60"/>
      </w:pPr>
      <w:r>
        <w:rPr>
          <w:sz w:val="18"/>
          <w:szCs w:val="18"/>
        </w:rPr>
        <w:t xml:space="preserve">This memo accompanies the Variance in R extended project. It shows how the same statistical result should be framed for two distinct audiences identified in the attached “What to Consider When Considering the Audience” and “Audience and Situation Analysis” guidance.</w:t>
      </w:r>
    </w:p>
    <w:p>
      <w:pPr>
        <w:pStyle w:val="Heading2"/>
      </w:pPr>
      <w:r>
        <w:t xml:space="preserve">Key Finding (shared facts)</w:t>
      </w:r>
    </w:p>
    <w:p>
      <w:pPr>
        <w:spacing w:after="40"/>
      </w:pPr>
      <w:r>
        <w:rPr>
          <w:sz w:val="18"/>
          <w:szCs w:val="18"/>
        </w:rPr>
        <w:t xml:space="preserve">Two classes of 30 students each have nearly identical mean scores (≈84.4 %). Population variances, however, differ by a factor of ≈18 (4.3 vs 78.1). Teacher 1’s outcomes are tightly clustered; Teacher 2’s range from the mid-60s to &gt;100.</w:t>
      </w:r>
    </w:p>
    <w:p>
      <w:pPr>
        <w:pStyle w:val="Heading2"/>
      </w:pPr>
      <w:r>
        <w:t xml:space="preserve">Message for Data Analysts / Technical Supervisors</w:t>
      </w:r>
    </w:p>
    <w:p>
      <w:pPr>
        <w:spacing w:after="40"/>
      </w:pPr>
      <w:r>
        <w:rPr>
          <w:sz w:val="18"/>
          <w:szCs w:val="18"/>
        </w:rPr>
        <w:t xml:space="preserve">Report the exact population and sample figures, the formula used, and the N vs N−1 distinction. Emphasise that the 18-fold ratio is robust for N=30 and that any downstream model (e.g., hierarchical or power calculation) should treat the two classes as having substantially different residual variance. Prefer the histogram + numeric table side-by-side.</w:t>
      </w:r>
    </w:p>
    <w:p>
      <w:pPr>
        <w:pStyle w:val="Heading2"/>
      </w:pPr>
      <w:r>
        <w:t xml:space="preserve">Message for Educators / School Administrators (Non-specialists)</w:t>
      </w:r>
    </w:p>
    <w:p>
      <w:pPr>
        <w:spacing w:after="40"/>
      </w:pPr>
      <w:r>
        <w:rPr>
          <w:sz w:val="18"/>
          <w:szCs w:val="18"/>
        </w:rPr>
        <w:t xml:space="preserve">Both classes average roughly 84 %. In one class almost every student scored between 80 and 88—results are highly consistent. In the other, scores stretch from the mid-60s to over 100: some students are excelling while others appear to need more support. The single number “variance” makes that difference visible and can prompt questions about instructional differentiation or assessment design. Always show the side-by-side histogram; avoid formula notation unless asked.</w:t>
      </w:r>
    </w:p>
    <w:p>
      <w:pPr>
        <w:pStyle w:val="Heading2"/>
      </w:pPr>
      <w:r>
        <w:t xml:space="preserve">Recommended Next Steps</w:t>
      </w:r>
    </w:p>
    <w:p>
      <w:pPr>
        <w:spacing w:after="20"/>
      </w:pPr>
      <w:r>
        <w:rPr>
          <w:sz w:val="18"/>
          <w:szCs w:val="18"/>
        </w:rPr>
        <w:t xml:space="preserve">• Attach the 1-page summary and the flowchart when circulating results.</w:t>
      </w:r>
    </w:p>
    <w:p>
      <w:pPr>
        <w:spacing w:after="20"/>
      </w:pPr>
      <w:r>
        <w:rPr>
          <w:sz w:val="18"/>
          <w:szCs w:val="18"/>
        </w:rPr>
        <w:t xml:space="preserve">• For mixed audiences, lead with the educator framing and put technical details in an appendix or footnote.</w:t>
      </w:r>
    </w:p>
    <w:p>
      <w:pPr>
        <w:spacing w:after="20"/>
      </w:pPr>
      <w:r>
        <w:rPr>
          <w:sz w:val="18"/>
          <w:szCs w:val="18"/>
        </w:rPr>
        <w:t xml:space="preserve">• Use the simulation notebook section to let stakeholders explore “what if σ were larger/smaller?” interactively.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a365d"/>
      <w:sz w:val="26"/>
      <w:szCs w:val="26"/>
    </w:rPr>
  </w:style>
  <w:style w:type="paragraph" w:styleId="Heading2">
    <w:name w:val="Heading 2"/>
    <w:basedOn w:val="Normal"/>
    <w:next w:val="Normal"/>
    <w:qFormat/>
    <w:pPr>
      <w:spacing w:after="40" w:before="100"/>
      <w:outlineLvl w:val="1"/>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2026-08-20T23:10:19.287Z</dcterms:created>
  <dcterms:modified xsi:type="dcterms:W3CDTF">2026-08-20T23:10:19.287Z</dcterms:modified>
</cp:coreProperties>
</file>

<file path=docProps/custom.xml><?xml version="1.0" encoding="utf-8"?>
<Properties xmlns="http://schemas.openxmlformats.org/officeDocument/2006/custom-properties" xmlns:vt="http://schemas.openxmlformats.org/officeDocument/2006/docPropsVTypes"/>
</file>