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26"/>
          <w:szCs w:val="26"/>
        </w:rPr>
        <w:t xml:space="preserve">1-Page Summary Report: FarmBurg A/B Test (Microtransaction Pricing)</w:t>
      </w:r>
    </w:p>
    <w:p>
      <w:pPr>
        <w:pStyle w:val="Heading2"/>
        <w:spacing w:after="60" w:before="120"/>
      </w:pPr>
      <w:r>
        <w:rPr>
          <w:b/>
          <w:bCs/>
          <w:color w:val="1F4E79"/>
          <w:sz w:val="22"/>
          <w:szCs w:val="22"/>
        </w:rPr>
        <w:t xml:space="preserve">Problem Statement</w:t>
      </w:r>
    </w:p>
    <w:p>
      <w:pPr>
        <w:spacing w:after="80"/>
      </w:pPr>
      <w:r>
        <w:rPr>
          <w:sz w:val="19"/>
          <w:szCs w:val="19"/>
        </w:rPr>
        <w:t xml:space="preserve">Brian (Product Manager, FarmBurg) tested three price points for a small upgrade package: $0.99 (Group A), $1.99 (Group B) and $4.99 (Group C). The business requires a minimum of $1 000 weekly revenue to justify the feature. A naïve Chi-Square test shows the purchase rates differ dramatically, but that test answers the wrong question. The correct decision metric is whether each price produces a purchase rate high enough that expected weekly revenue exceeds the $1 000 hurdle.</w:t>
      </w:r>
    </w:p>
    <w:p>
      <w:pPr>
        <w:pStyle w:val="Heading2"/>
        <w:spacing w:after="60" w:before="100"/>
      </w:pPr>
      <w:r>
        <w:rPr>
          <w:b/>
          <w:bCs/>
          <w:color w:val="1F4E79"/>
          <w:sz w:val="22"/>
          <w:szCs w:val="22"/>
        </w:rPr>
        <w:t xml:space="preserve">Solution Strategy</w:t>
      </w:r>
    </w:p>
    <w:p>
      <w:pPr>
        <w:spacing w:after="40"/>
      </w:pPr>
      <w:r>
        <w:rPr>
          <w:sz w:val="19"/>
          <w:szCs w:val="19"/>
        </w:rPr>
        <w:t xml:space="preserve">1. Load the week-long experiment data (n = 4 998, balanced arms) and build the group × purchase contingency table.</w:t>
      </w:r>
    </w:p>
    <w:p>
      <w:pPr>
        <w:spacing w:after="40"/>
      </w:pPr>
      <w:r>
        <w:rPr>
          <w:sz w:val="19"/>
          <w:szCs w:val="19"/>
        </w:rPr>
        <w:t xml:space="preserve">2. Run a Chi-Square test of independence (diagnostic only) and confirm rates differ (p ≈ 2.4 × 10⁻³⁵).</w:t>
      </w:r>
    </w:p>
    <w:p>
      <w:pPr>
        <w:spacing w:after="40"/>
      </w:pPr>
      <w:r>
        <w:rPr>
          <w:sz w:val="19"/>
          <w:szCs w:val="19"/>
        </w:rPr>
        <w:t xml:space="preserve">3. Convert the $1 000 revenue target into a required purchase rate for each price: 20.2 % ($0.99), 10.1 % ($1.99), 4.0 % ($4.99).</w:t>
      </w:r>
    </w:p>
    <w:p>
      <w:pPr>
        <w:spacing w:after="40"/>
      </w:pPr>
      <w:r>
        <w:rPr>
          <w:sz w:val="19"/>
          <w:szCs w:val="19"/>
        </w:rPr>
        <w:t xml:space="preserve">4. Perform one-sided binomial tests (Ha: rate &gt; target) for each arm; recommend the price(s) that clear α = 0.05.</w:t>
      </w:r>
    </w:p>
    <w:p>
      <w:pPr>
        <w:spacing w:after="80"/>
      </w:pPr>
      <w:r>
        <w:rPr>
          <w:sz w:val="19"/>
          <w:szCs w:val="19"/>
        </w:rPr>
        <w:t xml:space="preserve">5. Augment with Wilson CIs, observed-vs-target revenue charts, Cramér’s V, pairwise post-hoc tests, and a simulation playground that varies the revenue target / traffic / true rates.</w:t>
      </w:r>
    </w:p>
    <w:p>
      <w:pPr>
        <w:pStyle w:val="Heading2"/>
        <w:spacing w:after="60" w:before="100"/>
      </w:pPr>
      <w:r>
        <w:rPr>
          <w:b/>
          <w:bCs/>
          <w:color w:val="1F4E79"/>
          <w:sz w:val="22"/>
          <w:szCs w:val="22"/>
        </w:rPr>
        <w:t xml:space="preserve">Solution</w:t>
      </w:r>
    </w:p>
    <w:p>
      <w:pPr>
        <w:spacing w:after="40"/>
      </w:pPr>
      <w:r>
        <w:rPr>
          <w:sz w:val="19"/>
          <w:szCs w:val="19"/>
        </w:rPr>
        <w:t xml:space="preserve">Observed rates: A 18.97 %, B 10.98 %, C 4.98 %. Only Group C (p = 0.028) is significantly above its revenue-required rate. Observed week revenues were $313 / $364 / $414 — all below $1 000 — yet the statistical claim is about the long-run expectation. Recommendation: charge $4.99.</w:t>
      </w:r>
    </w:p>
    <w:p>
      <w:pPr>
        <w:spacing w:after="40" w:before="60"/>
        <w:jc w:val="center"/>
      </w:pPr>
      <w:r>
        <w:drawing>
          <wp:inline distT="0" distB="0" distL="0" distR="0">
            <wp:extent cx="4953000" cy="2000250"/>
            <wp:effectExtent t="0" r="0" b="0" l="0"/>
            <wp:docPr id="1" name="farmburg_rates_revenue.png" descr="Observed vs target rates and observed revenue" title="Rates and 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6"/>
          <w:szCs w:val="16"/>
        </w:rPr>
        <w:t xml:space="preserve">Figure: Observed purchase rates vs. revenue-target rates (left) and observed test-week revenue (right).</w:t>
      </w:r>
    </w:p>
    <w:p>
      <w:pPr>
        <w:pStyle w:val="Heading2"/>
        <w:spacing w:after="60" w:before="60"/>
      </w:pPr>
      <w:r>
        <w:rPr>
          <w:b/>
          <w:bCs/>
          <w:color w:val="1F4E79"/>
          <w:sz w:val="22"/>
          <w:szCs w:val="22"/>
        </w:rPr>
        <w:t xml:space="preserve">Key Takeaways</w:t>
      </w:r>
    </w:p>
    <w:p>
      <w:pPr>
        <w:spacing w:after="30"/>
      </w:pPr>
      <w:r>
        <w:rPr>
          <w:sz w:val="19"/>
          <w:szCs w:val="19"/>
        </w:rPr>
        <w:t xml:space="preserve">• Match the statistical test to the business question. A significant Chi-Square only proves rates differ; the revenue hurdle requires a one-sided binomial test against a derived target proportion.</w:t>
      </w:r>
    </w:p>
    <w:p>
      <w:pPr>
        <w:spacing w:after="30"/>
      </w:pPr>
      <w:r>
        <w:rPr>
          <w:sz w:val="19"/>
          <w:szCs w:val="19"/>
        </w:rPr>
        <w:t xml:space="preserve">• Higher price can win even with lower conversion. Group C’s 5 % rate still clears the $1 000 bar while the cheaper arms do not.</w:t>
      </w:r>
    </w:p>
    <w:p>
      <w:pPr>
        <w:spacing w:after="30"/>
      </w:pPr>
      <w:r>
        <w:rPr>
          <w:sz w:val="19"/>
          <w:szCs w:val="19"/>
        </w:rPr>
        <w:t xml:space="preserve">• Observed single-week revenue may still be below target; the test supports the expectation of future weeks, not a guarantee for the next calendar week.</w:t>
      </w:r>
    </w:p>
    <w:p>
      <w:pPr>
        <w:spacing w:after="30"/>
      </w:pPr>
      <w:r>
        <w:rPr>
          <w:sz w:val="19"/>
          <w:szCs w:val="19"/>
        </w:rPr>
        <w:t xml:space="preserve">• Sensitivity simulation is essential. Lowering the target to $400, doubling traffic, or changing the assumed true rate for C all alter which prices clear the hurdle — product managers should explore these scenarios before locking a price.</w:t>
      </w:r>
    </w:p>
    <w:p>
      <w:pPr>
        <w:spacing w:after="30"/>
      </w:pPr>
      <w:r>
        <w:rPr>
          <w:sz w:val="19"/>
          <w:szCs w:val="19"/>
        </w:rPr>
        <w:t xml:space="preserve">• Continuous monitoring after launch remains necessary; a sudden drop in the true rate for the $4.99 offer would invalidate the original decision.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Confidential · Product Analytics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FarmBurg Microtransaction Pricing A/B Test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614c4ef9ee5fbbd58a4418b98eb774a9035d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2026-07-25T18:55:13.282Z</dcterms:created>
  <dcterms:modified xsi:type="dcterms:W3CDTF">2026-07-25T18:55:13.282Z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