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1-Page Summary: Monte Carlo Simulation Techniques</w:t>
      </w:r>
    </w:p>
    <w:p>
      <w:pPr>
        <w:pStyle w:val="Heading2"/>
      </w:pPr>
      <w:r>
        <w:t xml:space="preserve">Problem Statement</w:t>
      </w:r>
    </w:p>
    <w:p>
      <w:pPr>
        <w:spacing w:after="50"/>
      </w:pPr>
      <w:r>
        <w:t xml:space="preserve">Many quantities that arise in A/B testing and experimental design—power, the probability that one variant is better, expected loss of a decision, confidence intervals for lift—have no simple closed-form expression or require strong parametric assumptions.  Analysts need a general, assumption-light method that can approximate these quantities to any desired accuracy and that produces uncertainty estimates for the approximations themselves.</w:t>
      </w:r>
    </w:p>
    <w:p>
      <w:pPr>
        <w:pStyle w:val="Heading2"/>
      </w:pPr>
      <w:r>
        <w:t xml:space="preserve">Solution Strategy</w:t>
      </w:r>
    </w:p>
    <w:p>
      <w:pPr>
        <w:spacing w:after="30"/>
      </w:pPr>
      <w:r>
        <w:t xml:space="preserve">1. Express the target quantity as the expectation of a random variable that can be sampled.</w:t>
      </w:r>
    </w:p>
    <w:p>
      <w:pPr>
        <w:spacing w:after="30"/>
      </w:pPr>
      <w:r>
        <w:t xml:space="preserve">2. Draw a large number N of independent realisations from the data-generating process (known distributions, bootstrap, or posterior).</w:t>
      </w:r>
    </w:p>
    <w:p>
      <w:pPr>
        <w:spacing w:after="30"/>
      </w:pPr>
      <w:r>
        <w:t xml:space="preserve">3. Compute the statistic on each realisation and average (or take quantiles / proportions).</w:t>
      </w:r>
    </w:p>
    <w:p>
      <w:pPr>
        <w:spacing w:after="50"/>
      </w:pPr>
      <w:r>
        <w:t xml:space="preserve">4. Report the Monte Carlo standard error (≈ s/√N) and, when relevant, a decision recommendation.  Tailor depth to the audience.</w:t>
      </w:r>
    </w:p>
    <w:p>
      <w:pPr>
        <w:pStyle w:val="Heading2"/>
      </w:pPr>
      <w:r>
        <w:t xml:space="preserve">Solution (Illustrative Results)</w:t>
      </w:r>
    </w:p>
    <w:p>
      <w:pPr>
        <w:spacing w:after="30"/>
      </w:pPr>
      <w:r>
        <w:rPr>
          <w:b/>
          <w:bCs/>
        </w:rPr>
        <w:t xml:space="preserve">π estimation (N = 20 000): </w:t>
      </w:r>
      <w:r>
        <w:t xml:space="preserve">3.156  (MC SE ≈ 0.012)</w:t>
      </w:r>
    </w:p>
    <w:p>
      <w:pPr>
        <w:spacing w:after="30"/>
      </w:pPr>
      <w:r>
        <w:rPr>
          <w:b/>
          <w:bCs/>
        </w:rPr>
        <w:t xml:space="preserve">P(Treatment &gt; Control) from Beta posteriors: </w:t>
      </w:r>
      <w:r>
        <w:rPr>
          <w:b/>
          <w:bCs/>
          <w:color w:val="c53030"/>
        </w:rPr>
        <w:t xml:space="preserve">0.941</w:t>
      </w:r>
      <w:r>
        <w:t xml:space="preserve">  (MC SE ≈ 0.0007)</w:t>
      </w:r>
    </w:p>
    <w:p>
      <w:pPr>
        <w:spacing w:after="30"/>
      </w:pPr>
      <w:r>
        <w:rPr>
          <w:b/>
          <w:bCs/>
        </w:rPr>
        <w:t xml:space="preserve">Empirical power (n = 600/arm, 2.4 pp lift, α = 0.05): </w:t>
      </w:r>
      <w:r>
        <w:t xml:space="preserve">≈ 0.20  (rises to ~0.45 at n = 1 500)</w:t>
      </w:r>
    </w:p>
    <w:p>
      <w:pPr>
        <w:spacing w:after="30"/>
      </w:pPr>
      <w:r>
        <w:rPr>
          <w:b/>
          <w:bCs/>
        </w:rPr>
        <w:t xml:space="preserve">95 % Bootstrap CI for absolute lift: </w:t>
      </w:r>
      <w:r>
        <w:t xml:space="preserve">[-0.006, 0.053]  (contains zero at this sample size)</w:t>
      </w:r>
    </w:p>
    <w:p>
      <w:pPr>
        <w:spacing w:after="50"/>
      </w:pPr>
      <w:r>
        <w:rPr>
          <w:b/>
          <w:bCs/>
        </w:rPr>
        <w:t xml:space="preserve">Expected loss: </w:t>
      </w:r>
      <w:r>
        <w:t xml:space="preserve">choose Treatment 0.0004  vs  choose Control 0.024  → prefer Treatment</w:t>
      </w:r>
    </w:p>
    <w:p>
      <w:pPr>
        <w:pStyle w:val="Heading2"/>
      </w:pPr>
      <w:r>
        <w:t xml:space="preserve">Key Takeaways</w:t>
      </w:r>
    </w:p>
    <w:p>
      <w:pPr>
        <w:spacing w:after="30"/>
      </w:pPr>
      <w:r>
        <w:t xml:space="preserve">• Monte Carlo converts any expectation or probability into a simple average of simulated outcomes; the only free parameter is N.</w:t>
      </w:r>
    </w:p>
    <w:p>
      <w:pPr>
        <w:spacing w:after="30"/>
      </w:pPr>
      <w:r>
        <w:t xml:space="preserve">• Monte Carlo error shrinks as 1/√N.  Always accompany an estimate with its standard error or a Monte Carlo confidence interval.</w:t>
      </w:r>
    </w:p>
    <w:p>
      <w:pPr>
        <w:spacing w:after="30"/>
      </w:pPr>
      <w:r>
        <w:t xml:space="preserve">• The same engine powers power analysis, Bayesian decision metrics, bootstrap intervals and risk calculations—making it a unifying tool for experimental design.</w:t>
      </w:r>
    </w:p>
    <w:p>
      <w:pPr>
        <w:spacing w:after="30"/>
      </w:pPr>
      <w:r>
        <w:t xml:space="preserve">• Simple variance-reduction techniques (e.g. antithetic variates) can cut error without increasing N.</w:t>
      </w:r>
    </w:p>
    <w:p>
      <w:pPr>
        <w:spacing w:after="30"/>
      </w:pPr>
      <w:r>
        <w:t xml:space="preserve">• Communicate the headline number and its practical meaning to executives; reserve diagnostics, seeds and sensitivity tables for technical peers.</w:t>
      </w:r>
    </w:p>
    <w:sectPr>
      <w:headerReference w:type="default" r:id="rId7"/>
      <w:footerReference w:type="default" r:id="rId8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16"/>
        <w:szCs w:val="16"/>
      </w:rPr>
      <w:t xml:space="preserve">Monte Carlo Simulation Techniques – Exploration Summary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100"/>
      <w:outlineLvl w:val="0"/>
    </w:pPr>
    <w:rPr>
      <w:rFonts w:ascii="Arial" w:cs="Arial" w:eastAsia="Arial" w:hAnsi="Arial"/>
      <w:b/>
      <w:bCs/>
      <w:color w:val="1a365d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40" w:before="80"/>
      <w:outlineLvl w:val="1"/>
    </w:pPr>
    <w:rPr>
      <w:rFonts w:ascii="Arial" w:cs="Arial" w:eastAsia="Arial" w:hAnsi="Arial"/>
      <w:b/>
      <w:bCs/>
      <w:color w:val="2c528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2026-07-24T03:36:02.907Z</dcterms:created>
  <dcterms:modified xsi:type="dcterms:W3CDTF">2026-07-24T03:36:02.908Z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