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1-Page Summary Report: Nosh Mish Mosh Artisanal A/B Test</w:t>
      </w:r>
    </w:p>
    <w:p>
      <w:pPr>
        <w:pStyle w:val="Heading2"/>
      </w:pPr>
      <w:r>
        <w:t xml:space="preserve">Problem Statement</w:t>
      </w:r>
    </w:p>
    <w:p>
      <w:pPr>
        <w:spacing w:after="60"/>
      </w:pPr>
      <w:r>
        <w:t xml:space="preserve">Nosh Mish Mosh wants to know whether switching to more artisanal-looking vegetable photography (blush tomatoes, graffiti eggplants) will increase meal-plan purchases enough to justify a new supplier relationship.  The business requires at least $1 240 of additional weekly revenue before the change is considered worthwhile.  Before any experiment can be launched we must calculate the sample size that gives us adequate statistical power to detect that revenue lift.</w:t>
      </w:r>
    </w:p>
    <w:p>
      <w:pPr>
        <w:pStyle w:val="Heading2"/>
      </w:pPr>
      <w:r>
        <w:t xml:space="preserve">Solution Strategy</w:t>
      </w:r>
    </w:p>
    <w:p>
      <w:pPr>
        <w:spacing w:after="40"/>
      </w:pPr>
      <w:r>
        <w:t xml:space="preserve">1. Retrieve one week of historical traffic and purchase data from the noshmishmosh library.</w:t>
      </w:r>
    </w:p>
    <w:p>
      <w:pPr>
        <w:spacing w:after="40"/>
      </w:pPr>
      <w:r>
        <w:t xml:space="preserve">2. Compute the baseline conversion rate (paying visitors ÷ total visitors).</w:t>
      </w:r>
    </w:p>
    <w:p>
      <w:pPr>
        <w:spacing w:after="40"/>
      </w:pPr>
      <w:r>
        <w:t xml:space="preserve">3. From the average payment per customer, calculate how many extra paying customers are required to generate +$1 240.</w:t>
      </w:r>
    </w:p>
    <w:p>
      <w:pPr>
        <w:spacing w:after="40"/>
      </w:pPr>
      <w:r>
        <w:t xml:space="preserve">4. Convert that absolute customer count into a relative Minimum Detectable Effect (MDE).</w:t>
      </w:r>
    </w:p>
    <w:p>
      <w:pPr>
        <w:spacing w:after="60"/>
      </w:pPr>
      <w:r>
        <w:t xml:space="preserve">5. With baseline, MDE and a chosen significance level (α = 0.10) look up (or compute) the required total sample size.</w:t>
      </w:r>
    </w:p>
    <w:p>
      <w:pPr>
        <w:pStyle w:val="Heading2"/>
      </w:pPr>
      <w:r>
        <w:t xml:space="preserve">Solution</w:t>
      </w:r>
    </w:p>
    <w:p>
      <w:pPr>
        <w:spacing w:after="40"/>
      </w:pPr>
      <w:r>
        <w:rPr>
          <w:b/>
          <w:bCs/>
        </w:rPr>
        <w:t xml:space="preserve">Baseline conversion rate: </w:t>
      </w:r>
      <w:r>
        <w:t xml:space="preserve">18.6 %  (93 paying / 500 visitors)</w:t>
      </w:r>
    </w:p>
    <w:p>
      <w:pPr>
        <w:spacing w:after="40"/>
      </w:pPr>
      <w:r>
        <w:rPr>
          <w:b/>
          <w:bCs/>
        </w:rPr>
        <w:t xml:space="preserve">Average payment: </w:t>
      </w:r>
      <w:r>
        <w:t xml:space="preserve">$26.38  →  47 new customers needed for +$1 240</w:t>
      </w:r>
    </w:p>
    <w:p>
      <w:pPr>
        <w:spacing w:after="40"/>
      </w:pPr>
      <w:r>
        <w:rPr>
          <w:b/>
          <w:bCs/>
        </w:rPr>
        <w:t xml:space="preserve">Percentage-point lift: </w:t>
      </w:r>
      <w:r>
        <w:t xml:space="preserve">9.4 pp  →  Minimum Detectable Effect ≈ 50.5 % relative</w:t>
      </w:r>
    </w:p>
    <w:p>
      <w:pPr>
        <w:spacing w:after="40"/>
      </w:pPr>
      <w:r>
        <w:rPr>
          <w:b/>
          <w:bCs/>
        </w:rPr>
        <w:t xml:space="preserve">Significance threshold: </w:t>
      </w:r>
      <w:r>
        <w:t xml:space="preserve">α = 0.10 (10 %)</w:t>
      </w:r>
    </w:p>
    <w:p>
      <w:pPr>
        <w:spacing w:after="60"/>
      </w:pPr>
      <w:r>
        <w:rPr>
          <w:b/>
          <w:bCs/>
        </w:rPr>
        <w:t xml:space="preserve">Required total sample size: </w:t>
      </w:r>
      <w:r>
        <w:rPr>
          <w:b/>
          <w:bCs/>
          <w:color w:val="c53030"/>
        </w:rPr>
        <w:t xml:space="preserve">490 visitors</w:t>
      </w:r>
      <w:r>
        <w:t xml:space="preserve">  (≈ 245 per variant under a 50/50 split)</w:t>
      </w:r>
    </w:p>
    <w:p>
      <w:pPr>
        <w:spacing w:after="60"/>
      </w:pPr>
      <w:r>
        <w:rPr>
          <w:i/>
          <w:iCs/>
        </w:rPr>
        <w:t xml:space="preserve">Monte-Carlo verification: </w:t>
      </w:r>
      <w:r>
        <w:rPr>
          <w:i/>
          <w:iCs/>
        </w:rPr>
        <w:t xml:space="preserve">empirical power at N = 490 is ≈ 79 %, confirming the nominal 80 % target.</w:t>
      </w:r>
    </w:p>
    <w:p>
      <w:pPr>
        <w:pStyle w:val="Heading2"/>
      </w:pPr>
      <w:r>
        <w:t xml:space="preserve">Key Takeaways</w:t>
      </w:r>
    </w:p>
    <w:p>
      <w:pPr>
        <w:spacing w:after="40"/>
      </w:pPr>
      <w:r>
        <w:t xml:space="preserve">• Pre-calculate and lock the sample size; never stop early on the basis of an interim p-value (inflates false-positive rate).</w:t>
      </w:r>
    </w:p>
    <w:p>
      <w:pPr>
        <w:spacing w:after="40"/>
      </w:pPr>
      <w:r>
        <w:t xml:space="preserve">• Express the business goal ($1 240) first as an absolute customer count, then as a relative MDE – this is the language sample-size calculators understand.</w:t>
      </w:r>
    </w:p>
    <w:p>
      <w:pPr>
        <w:spacing w:after="40"/>
      </w:pPr>
      <w:r>
        <w:t xml:space="preserve">• Tailor the final report to the audience: executives need a one-sentence headline + recommendation; technical peers need methods, code and power diagnostics; mixed audiences benefit from a layered structure (Introduction → Body by question → Conclusion → Appendix).</w:t>
      </w:r>
    </w:p>
    <w:p>
      <w:pPr>
        <w:spacing w:after="40"/>
      </w:pPr>
      <w:r>
        <w:t xml:space="preserve">• Sensitivity analysis shows that a tighter significance level (α = 0.05) raises the required N to ≈ 630; a larger desired lift (80 % relative) lowers it to ≈ 212.  Product managers can use the simulation playground to explore these trade-offs before the experiment starts.</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6"/>
        <w:szCs w:val="16"/>
      </w:rPr>
      <w:t xml:space="preserve">Nosh Mish Mosh – A/B Sample Size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a365d"/>
      <w:sz w:val="28"/>
      <w:szCs w:val="28"/>
    </w:rPr>
  </w:style>
  <w:style w:type="paragraph" w:styleId="Heading2">
    <w:name w:val="Heading 2"/>
    <w:basedOn w:val="Normal"/>
    <w:next w:val="Normal"/>
    <w:qFormat/>
    <w:pPr>
      <w:spacing w:after="60" w:before="100"/>
      <w:outlineLvl w:val="1"/>
    </w:pPr>
    <w:rPr>
      <w:rFonts w:ascii="Arial" w:cs="Arial" w:eastAsia="Arial" w:hAnsi="Arial"/>
      <w:b/>
      <w:bCs/>
      <w:color w:val="2c52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2026-07-24T03:14:12.295Z</dcterms:created>
  <dcterms:modified xsi:type="dcterms:W3CDTF">2026-07-24T03:14:12.296Z</dcterms:modified>
</cp:coreProperties>
</file>

<file path=docProps/custom.xml><?xml version="1.0" encoding="utf-8"?>
<Properties xmlns="http://schemas.openxmlformats.org/officeDocument/2006/custom-properties" xmlns:vt="http://schemas.openxmlformats.org/officeDocument/2006/docPropsVTypes"/>
</file>