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B3A5F"/>
          <w:sz w:val="26"/>
          <w:szCs w:val="26"/>
        </w:rPr>
        <w:t xml:space="preserve">Algerian Forest Fires — Inference Specialist Summary</w:t>
      </w:r>
    </w:p>
    <w:p>
      <w:pPr>
        <w:spacing w:after="80"/>
        <w:jc w:val="center"/>
      </w:pPr>
      <w:r>
        <w:rPr>
          <w:i/>
          <w:iCs/>
          <w:color w:val="555555"/>
          <w:sz w:val="16"/>
          <w:szCs w:val="16"/>
        </w:rPr>
        <w:t xml:space="preserve">Multiple Linear Regression, Interactions &amp; Polynomial Modelling of Weather and Fire-Risk Indices</w:t>
      </w:r>
    </w:p>
    <w:p>
      <w:pPr>
        <w:pStyle w:val="Heading1"/>
      </w:pPr>
      <w:r>
        <w:t xml:space="preserve">Problem Statement</w:t>
      </w:r>
    </w:p>
    <w:p>
      <w:pPr>
        <w:spacing w:after="60"/>
      </w:pPr>
      <w:r>
        <w:rPr>
          <w:sz w:val="17"/>
          <w:szCs w:val="17"/>
        </w:rPr>
        <w:t xml:space="preserve">Using 243 observations of weather and fire-weather indices from two Algerian forest regions (Bejaia &amp; Sidi Bel-abbes), an Inference Specialist must quantify how temperature, humidity, region and fire occurrence relate to relative humidity and to the Fine Fuel Moisture Code (FFMC), and how ISI + BUI recover the Fire Weather Index (FWI). The emphasis is on interpretable coefficients, interaction effects, curvature and assumption checks—not black-box prediction.</w:t>
      </w:r>
    </w:p>
    <w:p>
      <w:pPr>
        <w:pStyle w:val="Heading1"/>
      </w:pPr>
      <w:r>
        <w:t xml:space="preserve">Solution Strategy</w:t>
      </w:r>
    </w:p>
    <w:p>
      <w:pPr>
        <w:spacing w:after="40"/>
      </w:pPr>
      <w:r>
        <w:rPr>
          <w:sz w:val="17"/>
          <w:szCs w:val="17"/>
        </w:rPr>
        <w:t xml:space="preserve">1) Multicollinearity screen (heatmap / VIF) → 2) EDA scatters coloured by region or fire → 3) MLR with categorical main effects (humid ~ temp + region) → 4) Interaction model (FFMC ~ temp × fire) → 5) Quadratic polynomial (FFMC ~ humid + humid²) → 6) Multi-predictor &amp; derived-index models → 7) Residual diagnostics &amp; simulation sensitivity. The same pipeline transfers to any domain by swapping the CSV.</w:t>
      </w:r>
    </w:p>
    <w:p>
      <w:pPr>
        <w:pStyle w:val="Heading1"/>
      </w:pPr>
      <w:r>
        <w:t xml:space="preserve">Solution</w:t>
      </w:r>
    </w:p>
    <w:p>
      <w:pPr>
        <w:pStyle w:val="Heading2"/>
      </w:pPr>
      <w:r>
        <w:t xml:space="preserve">Key Model Results</w:t>
      </w:r>
    </w:p>
    <w:p>
      <w:pPr>
        <w:spacing w:after="40"/>
      </w:pPr>
      <w:r>
        <w:rPr>
          <w:sz w:val="17"/>
          <w:szCs w:val="17"/>
        </w:rPr>
        <w:t xml:space="preserve">Humidity model:  humid = 142.58 − 2.39·temp − 7.25·I(Sidi Bel-abbes).  Each +1 °C lowers humidity by ~2.4 pp (parallel across regions); Sidi Bel-abbes is systematically ~7 pp drier.</w:t>
      </w:r>
    </w:p>
    <w:p>
      <w:pPr>
        <w:spacing w:after="40"/>
      </w:pPr>
      <w:r>
        <w:rPr>
          <w:sz w:val="17"/>
          <w:szCs w:val="17"/>
        </w:rPr>
        <w:t xml:space="preserve">FFMC interaction:  No-Fire slope ≈ +2.45 FFMC/°C; Fire slope ≈ +0.56 FFMC/°C.  The interaction term (−1.89) shows that once a fire has occurred the temperature–FFMC relationship flattens dramatically.</w:t>
      </w:r>
    </w:p>
    <w:p>
      <w:pPr>
        <w:spacing w:after="60"/>
      </w:pPr>
      <w:r>
        <w:rPr>
          <w:sz w:val="17"/>
          <w:szCs w:val="17"/>
        </w:rPr>
        <w:t xml:space="preserve">Quadratic FFMC:  FFMC = 77.63 + 0.75·humid − 0.0114·humid².  Curvature is mild at low humidity but steeply negative after ~35 %, confirming that linear models understate the protective effect of high humidity.  FWI ~ ISI + BUI recovers R² ≈ 0.97 (expected by construction).</w:t>
      </w:r>
    </w:p>
    <w:p>
      <w:pPr>
        <w:spacing w:after="40"/>
        <w:jc w:val="center"/>
      </w:pPr>
      <w:r>
        <w:drawing>
          <wp:inline distT="0" distB="0" distL="0" distR="0">
            <wp:extent cx="2428875" cy="1571625"/>
            <wp:effectExtent t="0" r="0" b="0" l="0"/>
            <wp:docPr id="1" name="forest_humid_temp_region.png" descr="forest_humid_temp_region.png" title="forest_humid_temp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 </w:t>
      </w:r>
      <w:r>
        <w:drawing>
          <wp:inline distT="0" distB="0" distL="0" distR="0">
            <wp:extent cx="2428875" cy="1571625"/>
            <wp:effectExtent t="0" r="0" b="0" l="0"/>
            <wp:docPr id="1" name="forest_ffmc_temp_fire.png" descr="forest_ffmc_temp_fire.png" title="forest_ffmc_temp_f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555555"/>
          <w:sz w:val="14"/>
          <w:szCs w:val="14"/>
        </w:rPr>
        <w:t xml:space="preserve">Left: Humidity vs Temp by region (parallel fits).   Right: FFMC vs Temp by fire (interaction – different slopes).</w:t>
      </w:r>
    </w:p>
    <w:p>
      <w:pPr>
        <w:spacing w:after="40"/>
        <w:jc w:val="center"/>
      </w:pPr>
      <w:r>
        <w:drawing>
          <wp:inline distT="0" distB="0" distL="0" distR="0">
            <wp:extent cx="2428875" cy="1571625"/>
            <wp:effectExtent t="0" r="0" b="0" l="0"/>
            <wp:docPr id="1" name="forest_ffmc_humid_poly.png" descr="forest_ffmc_humid_poly.png" title="forest_ffmc_humid_po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 </w:t>
      </w:r>
      <w:r>
        <w:drawing>
          <wp:inline distT="0" distB="0" distL="0" distR="0">
            <wp:extent cx="2428875" cy="1571625"/>
            <wp:effectExtent t="0" r="0" b="0" l="0"/>
            <wp:docPr id="1" name="forest_corr_heatmap.png" descr="forest_corr_heatmap.png" title="forest_corr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555555"/>
          <w:sz w:val="14"/>
          <w:szCs w:val="14"/>
        </w:rPr>
        <w:t xml:space="preserve">Left: Quadratic FFMC–humidity curve.   Right: Correlation heatmap (DMC/BUI/DC/FWI highly collinear).</w:t>
      </w:r>
    </w:p>
    <w:p>
      <w:pPr>
        <w:pStyle w:val="Heading1"/>
      </w:pPr>
      <w:r>
        <w:t xml:space="preserve">Key Takeaways</w:t>
      </w:r>
    </w:p>
    <w:p>
      <w:pPr>
        <w:spacing w:after="30"/>
      </w:pPr>
      <w:r>
        <w:rPr>
          <w:sz w:val="17"/>
          <w:szCs w:val="17"/>
        </w:rPr>
        <w:t xml:space="preserve">• Temperature strongly reduces humidity (≈ −2.4 pp/°C) equally in both regions; Sidi Bel-abbes starts ~7 pp drier.</w:t>
      </w:r>
    </w:p>
    <w:p>
      <w:pPr>
        <w:spacing w:after="30"/>
      </w:pPr>
      <w:r>
        <w:rPr>
          <w:sz w:val="17"/>
          <w:szCs w:val="17"/>
        </w:rPr>
        <w:t xml:space="preserve">• An interaction is required for FFMC: the temperature gradient is steep only when no fire has yet occurred.</w:t>
      </w:r>
    </w:p>
    <w:p>
      <w:pPr>
        <w:spacing w:after="30"/>
      </w:pPr>
      <w:r>
        <w:rPr>
          <w:sz w:val="17"/>
          <w:szCs w:val="17"/>
        </w:rPr>
        <w:t xml:space="preserve">• FFMC–humidity is quadratic; linear approximations miss the increasing protective effect of higher humidity.</w:t>
      </w:r>
    </w:p>
    <w:p>
      <w:pPr>
        <w:spacing w:after="30"/>
      </w:pPr>
      <w:r>
        <w:rPr>
          <w:sz w:val="17"/>
          <w:szCs w:val="17"/>
        </w:rPr>
        <w:t xml:space="preserve">• Derived indices (DMC, DC, BUI, FWI) are collinear (VIF ≫ 10); never enter more than one as simultaneous predictors without theoretical justification.</w:t>
      </w:r>
    </w:p>
    <w:p>
      <w:pPr>
        <w:spacing w:after="30"/>
      </w:pPr>
      <w:r>
        <w:rPr>
          <w:sz w:val="17"/>
          <w:szCs w:val="17"/>
        </w:rPr>
        <w:t xml:space="preserve">• The identical Inference-Specialist pipeline (EDA → multicollinearity → MLR / interaction / polynomial → diagnostics → simulation) transfers to healthcare, marketing, agriculture or finance by changing only the data file.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Data: UCI / AI2SD 2019  ·  Bejaia &amp; Sidi Bel-abbes, Algeria  ·  n = 243  ·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Algerian Forest Fires  ·  Inference Specialist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center"/>
    </w:pPr>
    <w:rPr>
      <w:rFonts w:ascii="Calibri" w:cs="Calibri" w:eastAsia="Calibri" w:hAnsi="Calibri"/>
      <w:b/>
      <w:bCs/>
      <w:color w:val="1B3A5F"/>
      <w:sz w:val="28"/>
      <w:szCs w:val="28"/>
    </w:rPr>
  </w:style>
  <w:style w:type="paragraph" w:styleId="Heading1">
    <w:name w:val="Heading 1"/>
    <w:basedOn w:val="Normal"/>
    <w:pPr>
      <w:spacing w:after="40" w:before="120"/>
    </w:pPr>
    <w:rPr>
      <w:rFonts w:ascii="Calibri" w:cs="Calibri" w:eastAsia="Calibri" w:hAnsi="Calibri"/>
      <w:b/>
      <w:bCs/>
      <w:color w:val="2E5090"/>
      <w:sz w:val="20"/>
      <w:szCs w:val="20"/>
    </w:rPr>
  </w:style>
  <w:style w:type="paragraph" w:styleId="Heading2">
    <w:name w:val="Heading 2"/>
    <w:basedOn w:val="Normal"/>
    <w:pPr>
      <w:spacing w:after="30" w:before="80"/>
    </w:pPr>
    <w:rPr>
      <w:rFonts w:ascii="Calibri" w:cs="Calibri" w:eastAsia="Calibri" w:hAnsi="Calibri"/>
      <w:b/>
      <w:bCs/>
      <w:color w:val="3D6B9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fb2d3ed1fffa493f76a5d7646e378f54e048a9.png"/><Relationship Id="rId10" Type="http://schemas.openxmlformats.org/officeDocument/2006/relationships/image" Target="media/944fa1edce59d3162492729a11b7afe7882e3daa.png"/><Relationship Id="rId11" Type="http://schemas.openxmlformats.org/officeDocument/2006/relationships/image" Target="media/714233d98f531ed7fa9568e856093fd6ecb7b6d7.png"/><Relationship Id="rId12" Type="http://schemas.openxmlformats.org/officeDocument/2006/relationships/image" Target="media/552a015f7741788e176f32461b93869fdf07517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2026-07-25T19:19:13.706Z</dcterms:created>
  <dcterms:modified xsi:type="dcterms:W3CDTF">2026-07-25T19:19:13.707Z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