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Roller Coaster Rankings &amp; Statistics – Extended Analysis</w:t>
      </w:r>
    </w:p>
    <w:p>
      <w:pPr>
        <w:pStyle w:val="Heading2"/>
      </w:pPr>
      <w:r>
        <w:t xml:space="preserve">Problem Statement</w:t>
      </w:r>
    </w:p>
    <w:p>
      <w:pPr>
        <w:spacing w:after="60"/>
      </w:pPr>
      <w:r>
        <w:rPr>
          <w:sz w:val="17"/>
          <w:szCs w:val="17"/>
        </w:rPr>
        <w:t xml:space="preserve">Roller coasters are ranked annually by the Golden Ticket Awards (wood &amp; steel, 2013–2018) and described by physical attributes in a 2,802-row Captain Coaster dataset. The goal is to visualize ranking trajectories, explore distributions of speed/height/length/inversions, discover manufacturer &amp; seating patterns, and test how sensitive “best coaster” conclusions are to analysis choices (filters, weights).</w:t>
      </w:r>
    </w:p>
    <w:p>
      <w:pPr>
        <w:pStyle w:val="Heading2"/>
      </w:pPr>
      <w:r>
        <w:t xml:space="preserve">Solution Strategy</w:t>
      </w:r>
    </w:p>
    <w:p>
      <w:pPr>
        <w:spacing w:after="40"/>
      </w:pPr>
      <w:r>
        <w:rPr>
          <w:sz w:val="17"/>
          <w:szCs w:val="17"/>
        </w:rPr>
        <w:t xml:space="preserve">1) Load &amp; inspect rankings + stats CSVs. 2) Parameterized line plots for 1 / 2 / top-n coasters (with optional park filter). 3) Histograms, park inversion bars, status pie, speed–height scatter. 4) Group-by analysis of seating types &amp; manufacturers. 5) Correlation heatmap. 6) Alternate implementations (seaborn, method chaining, pivot). 7) Simulation: vary top-n, height thresholds, and synthetic popularity-score weights.</w:t>
      </w:r>
    </w:p>
    <w:p>
      <w:pPr>
        <w:pStyle w:val="Heading2"/>
      </w:pPr>
      <w:r>
        <w:t xml:space="preserve">Solution (Selected Visuals)</w:t>
      </w:r>
    </w:p>
    <w:p>
      <w:pPr>
        <w:spacing w:after="20" w:before="40"/>
        <w:jc w:val="center"/>
      </w:pPr>
      <w:r>
        <w:drawing>
          <wp:inline distT="0" distB="0" distL="0" distR="0">
            <wp:extent cx="2095500" cy="1047750"/>
            <wp:effectExtent t="0" r="0" b="0" l="0"/>
            <wp:docPr id="1" name="rc_two_coasters.png" descr="rc_two_coasters.png" title="rc_two_coast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</w:rPr>
        <w:t xml:space="preserve">  </w:t>
      </w:r>
      <w:r>
        <w:drawing>
          <wp:inline distT="0" distB="0" distL="0" distR="0">
            <wp:extent cx="1905000" cy="1047750"/>
            <wp:effectExtent t="0" r="0" b="0" l="0"/>
            <wp:docPr id="1" name="rc_scatter_speed_height.png" descr="rc_scatter_speed_height.png" title="rc_scatter_speed_heigh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</w:rPr>
        <w:t xml:space="preserve">  </w:t>
      </w:r>
      <w:r>
        <w:drawing>
          <wp:inline distT="0" distB="0" distL="0" distR="0">
            <wp:extent cx="1047750" cy="1047750"/>
            <wp:effectExtent t="0" r="0" b="0" l="0"/>
            <wp:docPr id="1" name="rc_status_pie.png" descr="rc_status_pie.png" title="rc_status_p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iCs/>
          <w:color w:val="555555"/>
          <w:sz w:val="14"/>
          <w:szCs w:val="14"/>
        </w:rPr>
        <w:t xml:space="preserve">El Toro vs Boulder Dash rankings  |  Speed vs Height (filtered)  |  Operating status (~77 % operating)</w:t>
      </w:r>
    </w:p>
    <w:p>
      <w:pPr>
        <w:spacing w:after="20"/>
        <w:jc w:val="center"/>
      </w:pPr>
      <w:r>
        <w:drawing>
          <wp:inline distT="0" distB="0" distL="0" distR="0">
            <wp:extent cx="2286000" cy="1143000"/>
            <wp:effectExtent t="0" r="0" b="0" l="0"/>
            <wp:docPr id="1" name="rc_mfr_speed.png" descr="rc_mfr_speed.png" title="rc_mfr_spe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</w:rPr>
        <w:t xml:space="preserve">  </w:t>
      </w:r>
      <w:r>
        <w:drawing>
          <wp:inline distT="0" distB="0" distL="0" distR="0">
            <wp:extent cx="1333500" cy="1143000"/>
            <wp:effectExtent t="0" r="0" b="0" l="0"/>
            <wp:docPr id="1" name="rc_corr_heatmap.png" descr="rc_corr_heatmap.png" title="rc_corr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iCs/>
          <w:color w:val="555555"/>
          <w:sz w:val="14"/>
          <w:szCs w:val="14"/>
        </w:rPr>
        <w:t xml:space="preserve">Manufacturer avg speed (RMC / B&amp;M / Intamin lead)  |  Feature correlations (speed–length 0.66)</w:t>
      </w:r>
    </w:p>
    <w:p>
      <w:pPr>
        <w:pStyle w:val="Heading2"/>
      </w:pPr>
      <w:r>
        <w:t xml:space="preserve">Key Takeaways</w:t>
      </w:r>
    </w:p>
    <w:p>
      <w:pPr>
        <w:spacing w:after="20"/>
      </w:pPr>
      <w:r>
        <w:rPr>
          <w:b/>
          <w:bCs/>
          <w:sz w:val="17"/>
          <w:szCs w:val="17"/>
        </w:rPr>
        <w:t xml:space="preserve">• Rankings: </w:t>
      </w:r>
      <w:r>
        <w:rPr>
          <w:sz w:val="17"/>
          <w:szCs w:val="17"/>
        </w:rPr>
        <w:t xml:space="preserve">Millennium Force dominates steel longevity; Fury 325 rocketed to #1 after 2015. Boulder Dash / Phoenix / El Toro rule wood. Name collisions require a park filter.</w:t>
      </w:r>
    </w:p>
    <w:p>
      <w:pPr>
        <w:spacing w:after="20"/>
      </w:pPr>
      <w:r>
        <w:rPr>
          <w:b/>
          <w:bCs/>
          <w:sz w:val="17"/>
          <w:szCs w:val="17"/>
        </w:rPr>
        <w:t xml:space="preserve">• Physics link: </w:t>
      </w:r>
      <w:r>
        <w:rPr>
          <w:sz w:val="17"/>
          <w:szCs w:val="17"/>
        </w:rPr>
        <w:t xml:space="preserve">After removing extreme height outliers, height–speed correlation rises to ~0.88; overall unfiltered corr ≈ 0.37. Speed also correlates strongly with length (0.66).</w:t>
      </w:r>
    </w:p>
    <w:p>
      <w:pPr>
        <w:spacing w:after="20"/>
      </w:pPr>
      <w:r>
        <w:rPr>
          <w:b/>
          <w:bCs/>
          <w:sz w:val="17"/>
          <w:szCs w:val="17"/>
        </w:rPr>
        <w:t xml:space="preserve">• Industry patterns: </w:t>
      </w:r>
      <w:r>
        <w:rPr>
          <w:sz w:val="17"/>
          <w:szCs w:val="17"/>
        </w:rPr>
        <w:t xml:space="preserve">RMC, B&amp;M, S&amp;S, Intamin specialize in high-speed coasters; wooden coasters almost never invert (avg 0.08 vs 0.82 steel). Floorless / Wing seating associates with higher average speeds.</w:t>
      </w:r>
    </w:p>
    <w:p>
      <w:pPr>
        <w:spacing w:after="20"/>
      </w:pPr>
      <w:r>
        <w:rPr>
          <w:b/>
          <w:bCs/>
          <w:sz w:val="17"/>
          <w:szCs w:val="17"/>
        </w:rPr>
        <w:t xml:space="preserve">• Simulation: </w:t>
      </w:r>
      <w:r>
        <w:rPr>
          <w:sz w:val="17"/>
          <w:szCs w:val="17"/>
        </w:rPr>
        <w:t xml:space="preserve">Changing synthetic-score weights (speed vs height vs inversions) completely reorders the “top 10”; metric choice is not neutral. Height-filter threshold also shifts measured correlations.</w:t>
      </w:r>
    </w:p>
    <w:p>
      <w:pPr>
        <w:spacing w:after="20"/>
      </w:pPr>
      <w:r>
        <w:rPr>
          <w:b/>
          <w:bCs/>
          <w:sz w:val="17"/>
          <w:szCs w:val="17"/>
        </w:rPr>
        <w:t xml:space="preserve">• Status: </w:t>
      </w:r>
      <w:r>
        <w:rPr>
          <w:sz w:val="17"/>
          <w:szCs w:val="17"/>
        </w:rPr>
        <w:t xml:space="preserve">≈77 % of catalogued coasters remain operating; the rest are closed, announced, under construction or rumored.</w:t>
      </w:r>
    </w:p>
    <w:sectPr>
      <w:headerReference w:type="default" r:id="rId7"/>
      <w:footerReference w:type="default" r:id="rId8"/>
      <w:pgSz w:w="11906" w:h="16838" w:orient="portrait"/>
      <w:pgMar w:top="360" w:right="540" w:bottom="36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Codecademy-style Extended Project  |  Python / pandas / matplotlib / seaborn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Roller Coaster Extended Lab –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1a365d"/>
      <w:sz w:val="24"/>
      <w:szCs w:val="24"/>
    </w:rPr>
  </w:style>
  <w:style w:type="paragraph" w:styleId="Heading2">
    <w:name w:val="Heading 2"/>
    <w:basedOn w:val="Normal"/>
    <w:next w:val="Normal"/>
    <w:pPr>
      <w:spacing w:after="40" w:before="80"/>
    </w:pPr>
    <w:rPr>
      <w:rFonts w:ascii="Calibri" w:cs="Calibri" w:eastAsia="Calibri" w:hAnsi="Calibri"/>
      <w:b/>
      <w:bCs/>
      <w:color w:val="2c528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34432c29bc4e2dd53647f289b98765ffb4617e5.png"/><Relationship Id="rId10" Type="http://schemas.openxmlformats.org/officeDocument/2006/relationships/image" Target="media/dcc5ccec3c8bbc7136424e3391f88c39cd59268c.png"/><Relationship Id="rId11" Type="http://schemas.openxmlformats.org/officeDocument/2006/relationships/image" Target="media/21c8fd33329ce607f4e904909412f86566f29439.png"/><Relationship Id="rId12" Type="http://schemas.openxmlformats.org/officeDocument/2006/relationships/image" Target="media/9546a1030dcdf99a2d2c5950334b2e47a17548d0.png"/><Relationship Id="rId13" Type="http://schemas.openxmlformats.org/officeDocument/2006/relationships/image" Target="media/5ce647d6ef57db4e8cb4ef94707cf6bd937868c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2026-07-28T02:12:52.816Z</dcterms:created>
  <dcterms:modified xsi:type="dcterms:W3CDTF">2026-07-28T02:12:52.816Z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