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1-Page Summary Report: Familiar Blood-Transfusion Packs</w:t>
      </w:r>
    </w:p>
    <w:p>
      <w:pPr>
        <w:spacing w:after="200"/>
      </w:pPr>
      <w:r>
        <w:rPr>
          <w:i/>
          <w:iCs/>
          <w:color w:val="444444"/>
          <w:sz w:val="18"/>
          <w:szCs w:val="18"/>
        </w:rPr>
        <w:t xml:space="preserve">Statistical analysis of lifespan and iron side-effects for Vein Pack vs Artery Pack</w:t>
      </w:r>
    </w:p>
    <w:p>
      <w:pPr>
        <w:spacing w:after="60" w:before="80"/>
      </w:pPr>
      <w:r>
        <w:rPr>
          <w:b/>
          <w:bCs/>
          <w:color w:val="1F4E79"/>
          <w:sz w:val="22"/>
          <w:szCs w:val="22"/>
        </w:rPr>
        <w:t xml:space="preserve">Problem Statement</w:t>
      </w:r>
    </w:p>
    <w:p>
      <w:pPr>
        <w:spacing w:after="120"/>
      </w:pPr>
      <w:r>
        <w:rPr>
          <w:sz w:val="18"/>
          <w:szCs w:val="18"/>
        </w:rPr>
        <w:t xml:space="preserve">Familiar, a blood-transfusion subscription startup, needs rigorous evidence that its Vein Pack extends subscriber lifespan beyond the general-population benchmark of 73 years and that its two product lines (Vein vs Artery) differ in both longevity benefit and iron-related side-effect profiles. Clear statistical answers will underwrite marketing claims and guide product positioning.</w:t>
      </w:r>
    </w:p>
    <w:p>
      <w:pPr>
        <w:spacing w:after="60" w:before="60"/>
      </w:pPr>
      <w:r>
        <w:rPr>
          <w:b/>
          <w:bCs/>
          <w:color w:val="1F4E79"/>
          <w:sz w:val="22"/>
          <w:szCs w:val="22"/>
        </w:rPr>
        <w:t xml:space="preserve">Solution Strategy</w:t>
      </w:r>
    </w:p>
    <w:p>
      <w:pPr>
        <w:spacing w:after="120"/>
      </w:pPr>
      <w:r>
        <w:rPr>
          <w:sz w:val="18"/>
          <w:szCs w:val="18"/>
        </w:rPr>
        <w:t xml:space="preserve">1. Exploratory inspection of two pre-loaded CSVs (lifespan n=40; iron n=345).  2. One-sample t-test of Vein Pack lifespans against μ₀ = 73.  3. Independent two-sample t-test comparing Vein vs Artery means.  4. Chi-square test of independence on the pack × iron contingency table.  5. Effect-size quantification (Cohen’s d, Cramér’s V) and 95 % confidence intervals.  6. Assumption diagnostics (Shapiro-Wilk, Levene) plus bootstrap resampling for robustness.  7. Audience-tailored visuals and a layered report structure (executives see headlines; technical readers see methods &amp; diagnostics).</w:t>
      </w:r>
    </w:p>
    <w:p>
      <w:pPr>
        <w:spacing w:after="60" w:before="60"/>
      </w:pPr>
      <w:r>
        <w:rPr>
          <w:b/>
          <w:bCs/>
          <w:color w:val="1F4E79"/>
          <w:sz w:val="22"/>
          <w:szCs w:val="22"/>
        </w:rPr>
        <w:t xml:space="preserve">Solution</w:t>
      </w:r>
    </w:p>
    <w:p>
      <w:pPr>
        <w:spacing w:after="40"/>
      </w:pPr>
      <w:r>
        <w:rPr>
          <w:b/>
          <w:bCs/>
          <w:sz w:val="18"/>
          <w:szCs w:val="18"/>
        </w:rPr>
        <w:t xml:space="preserve">Lifespan results</w:t>
      </w:r>
    </w:p>
    <w:p>
      <w:pPr>
        <w:spacing w:after="20"/>
      </w:pPr>
      <w:r>
        <w:rPr>
          <w:sz w:val="18"/>
          <w:szCs w:val="18"/>
        </w:rPr>
        <w:t xml:space="preserve">• Vein Pack mean = 76.17 years (95 % CI [75.26, 77.07]).  One-sample t-test vs 73: t = 7.33, p = 6.0 × 10⁻⁷ → highly significant longevity benefit.</w:t>
      </w:r>
    </w:p>
    <w:p>
      <w:pPr>
        <w:spacing w:after="80"/>
      </w:pPr>
      <w:r>
        <w:rPr>
          <w:sz w:val="18"/>
          <w:szCs w:val="18"/>
        </w:rPr>
        <w:t xml:space="preserve">• Artery Pack mean = 74.87 years.  Two-sample t-test (Vein vs Artery): t = 1.97, p = 0.056 (borderline).  Cohen’s d = 0.62 (medium).  Parametric 95 % CI for difference includes zero; bootstrap 95 % CI [0.03, 2.59] and 98 % of resamples favour Vein.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Iron side-effect results</w:t>
      </w:r>
    </w:p>
    <w:p>
      <w:pPr>
        <w:spacing w:after="80"/>
      </w:pPr>
      <w:r>
        <w:rPr>
          <w:sz w:val="18"/>
          <w:szCs w:val="18"/>
        </w:rPr>
        <w:t xml:space="preserve">• Strong association (χ² = 110.7, df = 2, p ≈ 9 × 10⁻²⁵).  Cramér’s V = 0.57 (large).  Vein: 70 % low iron; Artery: 60 % high iron.  Row proportions make the clinical difference immediately visible to non-technical stakeholders.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Visual evidence</w:t>
      </w:r>
    </w:p>
    <w:p>
      <w:pPr>
        <w:spacing w:after="120"/>
      </w:pPr>
      <w:r>
        <w:rPr>
          <w:sz w:val="18"/>
          <w:szCs w:val="18"/>
        </w:rPr>
        <w:t xml:space="preserve">Side-by-side boxplots (with 73-year reference line) and a stacked-bar iron distribution were produced (see companion notebook figure familiar_visuals.png).  Both graphics are designed so an executive can grasp the message in &lt; 10 seconds while a technical reviewer can still inspect the raw points.</w:t>
      </w:r>
    </w:p>
    <w:p>
      <w:pPr>
        <w:spacing w:after="60" w:before="60"/>
      </w:pPr>
      <w:r>
        <w:rPr>
          <w:b/>
          <w:bCs/>
          <w:color w:val="1F4E79"/>
          <w:sz w:val="22"/>
          <w:szCs w:val="22"/>
        </w:rPr>
        <w:t xml:space="preserve">Key Takeaways</w:t>
      </w:r>
    </w:p>
    <w:p>
      <w:pPr>
        <w:spacing w:after="20"/>
      </w:pPr>
      <w:r>
        <w:rPr>
          <w:sz w:val="18"/>
          <w:szCs w:val="18"/>
        </w:rPr>
        <w:t xml:space="preserve">1. Marketing can confidently claim a statistically robust longevity benefit for the Vein Pack relative to the 73-year benchmark.</w:t>
      </w:r>
    </w:p>
    <w:p>
      <w:pPr>
        <w:spacing w:after="20"/>
      </w:pPr>
      <w:r>
        <w:rPr>
          <w:sz w:val="18"/>
          <w:szCs w:val="18"/>
        </w:rPr>
        <w:t xml:space="preserve">2. The Artery Pack does not yet demonstrate a clear longevity advantage over Vein; larger samples or a different primary endpoint are warranted before an “upsell” claim is made.</w:t>
      </w:r>
    </w:p>
    <w:p>
      <w:pPr>
        <w:spacing w:after="20"/>
      </w:pPr>
      <w:r>
        <w:rPr>
          <w:sz w:val="18"/>
          <w:szCs w:val="18"/>
        </w:rPr>
        <w:t xml:space="preserve">3. Iron profiles differ dramatically: Vein → iron-deficiency counselling; Artery → iron-overload monitoring.  This differentiation is a ready-made product-feature story.</w:t>
      </w:r>
    </w:p>
    <w:p>
      <w:pPr>
        <w:spacing w:after="20"/>
      </w:pPr>
      <w:r>
        <w:rPr>
          <w:sz w:val="18"/>
          <w:szCs w:val="18"/>
        </w:rPr>
        <w:t xml:space="preserve">4. Assumptions (approximate normality, equal variances) hold reasonably well; bootstrap results reinforce the parametric conclusions.  Sample size for lifespan remains modest (n = 20/arm) – a prospective follow-up study is recommended.</w:t>
      </w:r>
    </w:p>
    <w:p>
      <w:pPr>
        <w:spacing w:after="60"/>
      </w:pPr>
      <w:r>
        <w:rPr>
          <w:sz w:val="18"/>
          <w:szCs w:val="18"/>
        </w:rPr>
        <w:t xml:space="preserve">5. Report structure follows the multi-audience guidance in the supplied PDFs: headlines first, methods &amp; diagnostics in the notebook/appendix, so executives, technical supervisors and mixed readers can each extract the appropriate level of detail.</w:t>
      </w:r>
    </w:p>
    <w:sectPr>
      <w:headerReference w:type="default" r:id="rId7"/>
      <w:footerReference w:type="default" r:id="rId8"/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Confidential – Internal Use Only  |  </w:t>
    </w: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Familiar – 1-Page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2026-07-24T03:47:08.129Z</dcterms:created>
  <dcterms:modified xsi:type="dcterms:W3CDTF">2026-07-24T03:47:08.129Z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