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6"/>
          <w:szCs w:val="26"/>
        </w:rPr>
        <w:t xml:space="preserve">1-Page Summary Report: Interpreting Effect Sizes for Familiar</w:t>
      </w:r>
    </w:p>
    <w:p>
      <w:pPr>
        <w:spacing w:after="140"/>
      </w:pPr>
      <w:r>
        <w:rPr>
          <w:i/>
          <w:iCs/>
          <w:color w:val="444444"/>
          <w:sz w:val="17"/>
          <w:szCs w:val="17"/>
        </w:rPr>
        <w:t xml:space="preserve">Cohen’s d, Cramér’s V and η² – magnitude, uncertainty and audience translation</w:t>
      </w:r>
    </w:p>
    <w:p>
      <w:pPr>
        <w:spacing w:after="40"/>
      </w:pPr>
      <w:r>
        <w:rPr>
          <w:b/>
          <w:bCs/>
          <w:color w:val="1F4E79"/>
          <w:sz w:val="20"/>
          <w:szCs w:val="20"/>
        </w:rPr>
        <w:t xml:space="preserve">Problem Statement</w:t>
      </w:r>
    </w:p>
    <w:p>
      <w:pPr>
        <w:spacing w:after="90"/>
      </w:pPr>
      <w:r>
        <w:rPr>
          <w:sz w:val="17"/>
          <w:szCs w:val="17"/>
        </w:rPr>
        <w:t xml:space="preserve">A statistically significant p-value only tells Familiar that a difference exists.  Product and medical leadership need to know how large the difference is, how precise the estimate is, and how to phrase it for executives versus technical reviewers.  This report interprets the three effect sizes already obtained from the lifespan and iron analyses.</w:t>
      </w:r>
    </w:p>
    <w:p>
      <w:pPr>
        <w:spacing w:after="40"/>
      </w:pPr>
      <w:r>
        <w:rPr>
          <w:b/>
          <w:bCs/>
          <w:color w:val="1F4E79"/>
          <w:sz w:val="20"/>
          <w:szCs w:val="20"/>
        </w:rPr>
        <w:t xml:space="preserve">Solution Strategy</w:t>
      </w:r>
    </w:p>
    <w:p>
      <w:pPr>
        <w:spacing w:after="90"/>
      </w:pPr>
      <w:r>
        <w:rPr>
          <w:sz w:val="17"/>
          <w:szCs w:val="17"/>
        </w:rPr>
        <w:t xml:space="preserve">1. Recompute Cohen’s d (lifespan), Cramér’s V (iron categories) and η² (ordinal iron score).  2. Classify each against conventional benchmarks.  3. Obtain 95 % bootstrap confidence intervals.  4. Translate each coefficient into original units (years, percentage points).  5. Run sample-size and variability sensitivity simulations.  6. Produce an annotated forest-style plot and audience-specific one-liners.</w:t>
      </w:r>
    </w:p>
    <w:p>
      <w:pPr>
        <w:spacing w:after="40"/>
      </w:pPr>
      <w:r>
        <w:rPr>
          <w:b/>
          <w:bCs/>
          <w:color w:val="1F4E79"/>
          <w:sz w:val="20"/>
          <w:szCs w:val="20"/>
        </w:rPr>
        <w:t xml:space="preserve">Solution</w:t>
      </w:r>
    </w:p>
    <w:p>
      <w:pPr>
        <w:spacing w:after="20"/>
      </w:pPr>
      <w:r>
        <w:rPr>
          <w:b/>
          <w:bCs/>
          <w:sz w:val="17"/>
          <w:szCs w:val="17"/>
        </w:rPr>
        <w:t xml:space="preserve">Point estimates &amp; classification</w:t>
      </w:r>
    </w:p>
    <w:p>
      <w:pPr>
        <w:spacing w:after="12"/>
      </w:pPr>
      <w:r>
        <w:rPr>
          <w:sz w:val="17"/>
          <w:szCs w:val="17"/>
        </w:rPr>
        <w:t xml:space="preserve">• Cohen’s d = 0.62 (medium) – Vein mean lifespan exceeds Artery by 1.30 years.</w:t>
      </w:r>
    </w:p>
    <w:p>
      <w:pPr>
        <w:spacing w:after="12"/>
      </w:pPr>
      <w:r>
        <w:rPr>
          <w:sz w:val="17"/>
          <w:szCs w:val="17"/>
        </w:rPr>
        <w:t xml:space="preserve">• Cramér’s V = 0.57 (large) – 70 % of Vein users have low iron versus 20 % of Artery users (50 pp gap).</w:t>
      </w:r>
    </w:p>
    <w:p>
      <w:pPr>
        <w:spacing w:after="50"/>
      </w:pPr>
      <w:r>
        <w:rPr>
          <w:sz w:val="17"/>
          <w:szCs w:val="17"/>
        </w:rPr>
        <w:t xml:space="preserve">• η² = 0.32 (large) – pack membership accounts for roughly one-third of the variance in the ordinal iron score.</w:t>
      </w:r>
    </w:p>
    <w:p>
      <w:pPr>
        <w:spacing w:after="20"/>
      </w:pPr>
      <w:r>
        <w:rPr>
          <w:b/>
          <w:bCs/>
          <w:sz w:val="17"/>
          <w:szCs w:val="17"/>
        </w:rPr>
        <w:t xml:space="preserve">Uncertainty (95 % bootstrap CIs)</w:t>
      </w:r>
    </w:p>
    <w:p>
      <w:pPr>
        <w:spacing w:after="12"/>
      </w:pPr>
      <w:r>
        <w:rPr>
          <w:sz w:val="17"/>
          <w:szCs w:val="17"/>
        </w:rPr>
        <w:t xml:space="preserve">• d ∈ [0.02, 1.30] – excludes zero but is wide; the conventional “medium” threshold 0.5 still lies inside the interval.</w:t>
      </w:r>
    </w:p>
    <w:p>
      <w:pPr>
        <w:spacing w:after="50"/>
      </w:pPr>
      <w:r>
        <w:rPr>
          <w:sz w:val="17"/>
          <w:szCs w:val="17"/>
        </w:rPr>
        <w:t xml:space="preserve">• V ∈ [0.48, 0.65] and η² ∈ [0.23, 0.42] – both intervals sit comfortably in the “large” region, reflecting the much larger iron sample (n = 345).</w:t>
      </w:r>
    </w:p>
    <w:p>
      <w:pPr>
        <w:spacing w:after="20"/>
      </w:pPr>
      <w:r>
        <w:rPr>
          <w:b/>
          <w:bCs/>
          <w:sz w:val="17"/>
          <w:szCs w:val="17"/>
        </w:rPr>
        <w:t xml:space="preserve">Sensitivity highlights</w:t>
      </w:r>
    </w:p>
    <w:p>
      <w:pPr>
        <w:spacing w:after="50"/>
      </w:pPr>
      <w:r>
        <w:rPr>
          <w:sz w:val="17"/>
          <w:szCs w:val="17"/>
        </w:rPr>
        <w:t xml:space="preserve">• Shrinking the lifespan sample to n = 8–16 per arm keeps the point estimate of d in the medium-to-large range, but the CI widens dramatically.  • Inflating within-group SDs by 50–100 % moves d from medium into the small range even though the raw mean difference is unchanged – standardised effect sizes are sensitive to noise.</w:t>
      </w:r>
    </w:p>
    <w:p>
      <w:pPr>
        <w:spacing w:after="90"/>
      </w:pPr>
      <w:r>
        <w:rPr>
          <w:sz w:val="17"/>
          <w:szCs w:val="17"/>
        </w:rPr>
        <w:t xml:space="preserve">Visual: forest-style plot of the three effect sizes with CIs and medium-effect reference lines (familiar_effect_size_visuals.png).</w:t>
      </w:r>
    </w:p>
    <w:p>
      <w:pPr>
        <w:spacing w:after="40"/>
      </w:pPr>
      <w:r>
        <w:rPr>
          <w:b/>
          <w:bCs/>
          <w:color w:val="1F4E79"/>
          <w:sz w:val="20"/>
          <w:szCs w:val="20"/>
        </w:rPr>
        <w:t xml:space="preserve">Key Takeaways</w:t>
      </w:r>
    </w:p>
    <w:p>
      <w:pPr>
        <w:spacing w:after="16"/>
      </w:pPr>
      <w:r>
        <w:rPr>
          <w:sz w:val="17"/>
          <w:szCs w:val="17"/>
        </w:rPr>
        <w:t xml:space="preserve">1. Always pair a p-value with an effect size and, whenever possible, a confidence interval; significance without magnitude is incomplete for product decisions.</w:t>
      </w:r>
    </w:p>
    <w:p>
      <w:pPr>
        <w:spacing w:after="16"/>
      </w:pPr>
      <w:r>
        <w:rPr>
          <w:sz w:val="17"/>
          <w:szCs w:val="17"/>
        </w:rPr>
        <w:t xml:space="preserve">2. Translate standardised coefficients back into original units for executives (“+1.3 years”, “50 pp more low iron”).  Keep d / V / η² for technical reviewers.</w:t>
      </w:r>
    </w:p>
    <w:p>
      <w:pPr>
        <w:spacing w:after="16"/>
      </w:pPr>
      <w:r>
        <w:rPr>
          <w:sz w:val="17"/>
          <w:szCs w:val="17"/>
        </w:rPr>
        <w:t xml:space="preserve">3. The iron association is large and precise; the lifespan difference is medium and still uncertain.  Marketing claims for longevity should remain modest until a larger study tightens the CI for d.</w:t>
      </w:r>
    </w:p>
    <w:p>
      <w:pPr>
        <w:spacing w:after="16"/>
      </w:pPr>
      <w:r>
        <w:rPr>
          <w:sz w:val="17"/>
          <w:szCs w:val="17"/>
        </w:rPr>
        <w:t xml:space="preserve">4. Side-effect counselling can be differentiated with high confidence (Vein → deficiency risk; Artery → overload risk).</w:t>
      </w:r>
    </w:p>
    <w:p>
      <w:pPr>
        <w:spacing w:after="20"/>
      </w:pPr>
      <w:r>
        <w:rPr>
          <w:sz w:val="17"/>
          <w:szCs w:val="17"/>
        </w:rPr>
        <w:t xml:space="preserve">5. Report structure follows the multi-audience guidance in the supplied PDFs: headline magnitude first, full diagnostics and simulation in the companion notebooks / appendix.</w:t>
      </w:r>
    </w:p>
    <w:sectPr>
      <w:headerReference w:type="default" r:id="rId7"/>
      <w:footerReference w:type="default" r:id="rId8"/>
      <w:pgSz w:w="12240" w:h="15840" w:orient="portrait"/>
      <w:pgMar w:top="540" w:right="720" w:bottom="5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4"/>
        <w:szCs w:val="14"/>
      </w:rPr>
      <w:t xml:space="preserve">Confidential – Internal Use Only  |  </w:t>
    </w:r>
    <w:r>
      <w:rPr>
        <w:color w:val="888888"/>
        <w:sz w:val="14"/>
        <w:szCs w:val="14"/>
      </w:rPr>
      <w:t xml:space="preserve">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Familiar Effect-Size Interpretation – 1-Page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2026-07-24T03:57:30.424Z</dcterms:created>
  <dcterms:modified xsi:type="dcterms:W3CDTF">2026-07-24T03:57:30.425Z</dcterms:modified>
</cp:coreProperties>
</file>

<file path=docProps/custom.xml><?xml version="1.0" encoding="utf-8"?>
<Properties xmlns="http://schemas.openxmlformats.org/officeDocument/2006/custom-properties" xmlns:vt="http://schemas.openxmlformats.org/officeDocument/2006/docPropsVTypes"/>
</file>