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26"/>
          <w:szCs w:val="26"/>
        </w:rPr>
        <w:t xml:space="preserve">1-Page Summary Report: Familiar Iron Levels – ANOVA on Ordinal Scores</w:t>
      </w:r>
    </w:p>
    <w:p>
      <w:pPr>
        <w:spacing w:after="160"/>
      </w:pPr>
      <w:r>
        <w:rPr>
          <w:i/>
          <w:iCs/>
          <w:color w:val="444444"/>
          <w:sz w:val="17"/>
          <w:szCs w:val="17"/>
        </w:rPr>
        <w:t xml:space="preserve">Extension of the categorical Chi-square analysis using low=1 / normal=2 / high=3 scoring</w:t>
      </w:r>
    </w:p>
    <w:p>
      <w:pPr>
        <w:spacing w:after="40"/>
      </w:pPr>
      <w:r>
        <w:rPr>
          <w:b/>
          <w:bCs/>
          <w:color w:val="1F4E79"/>
          <w:sz w:val="20"/>
          <w:szCs w:val="20"/>
        </w:rPr>
        <w:t xml:space="preserve">Problem Statement</w:t>
      </w:r>
    </w:p>
    <w:p>
      <w:pPr>
        <w:spacing w:after="100"/>
      </w:pPr>
      <w:r>
        <w:rPr>
          <w:sz w:val="17"/>
          <w:szCs w:val="17"/>
        </w:rPr>
        <w:t xml:space="preserve">Familiar needs to quantify whether Vein and Artery packs produce different iron-level profiles.  The original analysis used a Chi-square test on the categorical labels.  Here we treat the ordered categories as an ordinal numeric score and apply one-way ANOVA (and Kruskal-Wallis) so that a mean difference, effect size (η²) and classical ANOVA diagnostics can be reported alongside the categorical result.</w:t>
      </w:r>
    </w:p>
    <w:p>
      <w:pPr>
        <w:spacing w:after="40"/>
      </w:pPr>
      <w:r>
        <w:rPr>
          <w:b/>
          <w:bCs/>
          <w:color w:val="1F4E79"/>
          <w:sz w:val="20"/>
          <w:szCs w:val="20"/>
        </w:rPr>
        <w:t xml:space="preserve">Solution Strategy</w:t>
      </w:r>
    </w:p>
    <w:p>
      <w:pPr>
        <w:spacing w:after="100"/>
      </w:pPr>
      <w:r>
        <w:rPr>
          <w:sz w:val="17"/>
          <w:szCs w:val="17"/>
        </w:rPr>
        <w:t xml:space="preserve">1. Map iron categories to scores (low=1, normal=2, high=3).  2. Summarise means and SDs by pack.  3. Run one-way ANOVA (scipy.stats.f_oneway / statsmodels OLS).  4. Run Kruskal-Wallis as the non-parametric counterpart.  5. Check normality (Shapiro-Wilk) and equal variance (Levene); compute η².  6. Permutation test of the F-statistic for a distribution-free p-value.  7. Sensitivity to alternative monotonic codings.  8. Visualise both the ordinal scores and the original category proportions.</w:t>
      </w:r>
    </w:p>
    <w:p>
      <w:pPr>
        <w:spacing w:after="40"/>
      </w:pPr>
      <w:r>
        <w:rPr>
          <w:b/>
          <w:bCs/>
          <w:color w:val="1F4E79"/>
          <w:sz w:val="20"/>
          <w:szCs w:val="20"/>
        </w:rPr>
        <w:t xml:space="preserve">Solution</w:t>
      </w:r>
    </w:p>
    <w:p>
      <w:pPr>
        <w:spacing w:after="20"/>
      </w:pPr>
      <w:r>
        <w:rPr>
          <w:b/>
          <w:bCs/>
          <w:sz w:val="17"/>
          <w:szCs w:val="17"/>
        </w:rPr>
        <w:t xml:space="preserve">Descriptive results</w:t>
      </w:r>
    </w:p>
    <w:p>
      <w:pPr>
        <w:spacing w:after="20"/>
      </w:pPr>
      <w:r>
        <w:rPr>
          <w:sz w:val="17"/>
          <w:szCs w:val="17"/>
        </w:rPr>
        <w:t xml:space="preserve">• Mean ordinal score: Vein = 1.40 (n=200), Artery = 2.40 (n=145).  Mean difference = 1.00 point on the 1–3 scale.</w:t>
      </w:r>
    </w:p>
    <w:p>
      <w:pPr>
        <w:spacing w:after="60"/>
      </w:pPr>
      <w:r>
        <w:rPr>
          <w:sz w:val="17"/>
          <w:szCs w:val="17"/>
        </w:rPr>
        <w:t xml:space="preserve">• Original categories reinforce the pattern: Vein 70 % low iron; Artery 60 % high iron.</w:t>
      </w:r>
    </w:p>
    <w:p>
      <w:pPr>
        <w:spacing w:after="20"/>
      </w:pPr>
      <w:r>
        <w:rPr>
          <w:b/>
          <w:bCs/>
          <w:sz w:val="17"/>
          <w:szCs w:val="17"/>
        </w:rPr>
        <w:t xml:space="preserve">Inferential results</w:t>
      </w:r>
    </w:p>
    <w:p>
      <w:pPr>
        <w:spacing w:after="20"/>
      </w:pPr>
      <w:r>
        <w:rPr>
          <w:sz w:val="17"/>
          <w:szCs w:val="17"/>
        </w:rPr>
        <w:t xml:space="preserve">• One-way ANOVA: F = 159.47, p ≈ 2.8 × 10⁻³⁰ (highly significant).  η² = 0.32 (large effect).</w:t>
      </w:r>
    </w:p>
    <w:p>
      <w:pPr>
        <w:spacing w:after="20"/>
      </w:pPr>
      <w:r>
        <w:rPr>
          <w:sz w:val="17"/>
          <w:szCs w:val="17"/>
        </w:rPr>
        <w:t xml:space="preserve">• Kruskal-Wallis: H = 107.17, p ≈ 4.1 × 10⁻²⁵ (same conclusion; preferred because scores are discrete and Shapiro-Wilk rejects normality).</w:t>
      </w:r>
    </w:p>
    <w:p>
      <w:pPr>
        <w:spacing w:after="20"/>
      </w:pPr>
      <w:r>
        <w:rPr>
          <w:sz w:val="17"/>
          <w:szCs w:val="17"/>
        </w:rPr>
        <w:t xml:space="preserve">• Levene test indicates unequal variances (p = 0.012); the two-group t-test still satisfies t² = F, confirming internal consistency.</w:t>
      </w:r>
    </w:p>
    <w:p>
      <w:pPr>
        <w:spacing w:after="20"/>
      </w:pPr>
      <w:r>
        <w:rPr>
          <w:sz w:val="17"/>
          <w:szCs w:val="17"/>
        </w:rPr>
        <w:t xml:space="preserve">• Permutation test (2 000 shuffles of pack labels): empirical p = 0; observed F lies far in the right tail of the null distribution.</w:t>
      </w:r>
    </w:p>
    <w:p>
      <w:pPr>
        <w:spacing w:after="100"/>
      </w:pPr>
      <w:r>
        <w:rPr>
          <w:sz w:val="17"/>
          <w:szCs w:val="17"/>
        </w:rPr>
        <w:t xml:space="preserve">• Sensitivity: alternative scoring (0-1-3) yields the same substantive result.  Graph: boxplots of ordinal scores + stacked category proportions (familiar_iron_anova_visuals.png).</w:t>
      </w:r>
    </w:p>
    <w:p>
      <w:pPr>
        <w:spacing w:after="40"/>
      </w:pPr>
      <w:r>
        <w:rPr>
          <w:b/>
          <w:bCs/>
          <w:color w:val="1F4E79"/>
          <w:sz w:val="20"/>
          <w:szCs w:val="20"/>
        </w:rPr>
        <w:t xml:space="preserve">Key Takeaways</w:t>
      </w:r>
    </w:p>
    <w:p>
      <w:pPr>
        <w:spacing w:after="20"/>
      </w:pPr>
      <w:r>
        <w:rPr>
          <w:sz w:val="17"/>
          <w:szCs w:val="17"/>
        </w:rPr>
        <w:t xml:space="preserve">1. Both ANOVA on ordinal scores and the original Chi-square test show an extremely strong pack–iron association; the practical message is robust to analytic choice.</w:t>
      </w:r>
    </w:p>
    <w:p>
      <w:pPr>
        <w:spacing w:after="20"/>
      </w:pPr>
      <w:r>
        <w:rPr>
          <w:sz w:val="17"/>
          <w:szCs w:val="17"/>
        </w:rPr>
        <w:t xml:space="preserve">2. Vein Pack → higher risk of low iron (counsel for deficiency screening).  Artery Pack → higher risk of high iron (counsel for overload monitoring).</w:t>
      </w:r>
    </w:p>
    <w:p>
      <w:pPr>
        <w:spacing w:after="20"/>
      </w:pPr>
      <w:r>
        <w:rPr>
          <w:sz w:val="17"/>
          <w:szCs w:val="17"/>
        </w:rPr>
        <w:t xml:space="preserve">3. Because the scores are discrete, Kruskal-Wallis (or the Chi-square test) should be treated as the primary inferential result; ANOVA supplies a convenient effect-size (η²) and mean-difference interpretation for mixed audiences.</w:t>
      </w:r>
    </w:p>
    <w:p>
      <w:pPr>
        <w:spacing w:after="20"/>
      </w:pPr>
      <w:r>
        <w:rPr>
          <w:sz w:val="17"/>
          <w:szCs w:val="17"/>
        </w:rPr>
        <w:t xml:space="preserve">4. Report structure follows the multi-audience guidance: executives receive the one-point mean difference and clinical recommendation; technical readers receive assumption checks, permutation p-value and code in the companion notebooks.</w:t>
      </w:r>
    </w:p>
    <w:p>
      <w:pPr>
        <w:spacing w:after="40"/>
      </w:pPr>
      <w:r>
        <w:rPr>
          <w:sz w:val="17"/>
          <w:szCs w:val="17"/>
        </w:rPr>
        <w:t xml:space="preserve">5. Limitation: equal-interval scoring is an assumption.  When in doubt, lead with the categorical Chi-square and present the ordinal ANOVA as a sensitivity analysis that quantifies the magnitude of the shift.</w:t>
      </w:r>
    </w:p>
    <w:sectPr>
      <w:headerReference w:type="default" r:id="rId7"/>
      <w:footerReference w:type="default" r:id="rId8"/>
      <w:pgSz w:w="12240" w:h="15840" w:orient="portrait"/>
      <w:pgMar w:top="540" w:right="720" w:bottom="5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4"/>
        <w:szCs w:val="14"/>
      </w:rPr>
      <w:t xml:space="preserve">Confidential – Internal Use Only  |  </w:t>
    </w:r>
    <w:r>
      <w:rPr>
        <w:color w:val="888888"/>
        <w:sz w:val="14"/>
        <w:szCs w:val="14"/>
      </w:rPr>
      <w:t xml:space="preserve">Page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6"/>
        <w:szCs w:val="16"/>
      </w:rPr>
      <w:t xml:space="preserve">Familiar Iron ANOVA – 1-Page Summary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2026-07-24T03:52:27.043Z</dcterms:created>
  <dcterms:modified xsi:type="dcterms:W3CDTF">2026-07-24T03:52:27.044Z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