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60"/>
      </w:pPr>
      <w:r>
        <w:rPr>
          <w:sz w:val="17"/>
          <w:szCs w:val="17"/>
        </w:rPr>
        <w:t xml:space="preserve">Using ATP men’s tennis statistics (2009–2017, 1 721 player-year records) we want to understand which on-court performance metrics best predict career outcomes—especially yearly Winnings, Wins and Ranking. The practical goal is to build and compare linear regression models that range from a single feature to multi-feature specifications, quantify predictive power (R²), and explore model stability under resampling and noise.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rPr>
          <w:sz w:val="16"/>
          <w:szCs w:val="16"/>
        </w:rPr>
        <w:t xml:space="preserve">1. Load &amp; profile the data (no missing values).  2. Exploratory scatter plots + correlation heatmap to surface strong linear relationships.  3. Single-feature ordinary least-squares models with train/test split; rank features by test R².  4. Systematic two-feature and multi-feature experiments.  5. Alternate implementations (scaled Pipeline, pure-NumPy OLS, target = Wins).  6. Monte-Carlo simulation that varies test size, subsample fraction and additive noise to assess R² variability.  Volume statistics (games played, break-point opportunities) dominate pure percentage statistics.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sz w:val="16"/>
          <w:szCs w:val="16"/>
        </w:rPr>
        <w:t xml:space="preserve">Best single feature: ServiceGamesPlayed (Test R² ≈ 0.825).  Strong two-feature pair: BreakPointsOpportunities + Aces (R² ≈ 0.829).  Best multi-feature set (mixed volume + quality) reaches Test R² ≈ 0.831.  Volume-only set is nearly as good (0.827).  Percentage-only features yield only ~0.23.  Ranking is harder to predict (CV R² ~0.3).  Simulation (80 bootstrap resamples) shows mean R² ≈ 0.831 with std ≈ 0.031 under default settings—stable for full-sample models.</w:t>
      </w:r>
    </w:p>
    <w:p>
      <w:pPr>
        <w:spacing w:after="20" w:before="40"/>
        <w:jc w:val="center"/>
      </w:pPr>
      <w:r>
        <w:drawing>
          <wp:inline distT="0" distB="0" distL="0" distR="0">
            <wp:extent cx="2000250" cy="1428750"/>
            <wp:effectExtent t="0" r="0" b="0" l="0"/>
            <wp:docPr id="1" name="heatmap" descr="Feature-outcome correlations" title="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</w:t>
      </w:r>
      <w:r>
        <w:drawing>
          <wp:inline distT="0" distB="0" distL="0" distR="0">
            <wp:extent cx="1428750" cy="1428750"/>
            <wp:effectExtent t="0" r="0" b="0" l="0"/>
            <wp:docPr id="1" name="multi" descr="Multi-feature predictions" title="Pred vs 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</w:rPr>
        <w:t xml:space="preserve">  </w:t>
      </w:r>
      <w:r>
        <w:drawing>
          <wp:inline distT="0" distB="0" distL="0" distR="0">
            <wp:extent cx="1809750" cy="1143000"/>
            <wp:effectExtent t="0" r="0" b="0" l="0"/>
            <wp:docPr id="1" name="sim" descr="R2 histogram" title="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i/>
          <w:iCs/>
          <w:color w:val="555555"/>
          <w:sz w:val="13"/>
          <w:szCs w:val="13"/>
        </w:rPr>
        <w:t xml:space="preserve">Left: feature–outcome correlations  |  Center: multi-feature predicted vs actual  |  Right: Monte-Carlo R² distribution</w:t>
      </w:r>
    </w:p>
    <w:p>
      <w:pPr>
        <w:pStyle w:val="Heading1"/>
      </w:pPr>
      <w:r>
        <w:t xml:space="preserve">Key Takeaways</w:t>
      </w:r>
    </w:p>
    <w:p>
      <w:pPr>
        <w:spacing w:after="16"/>
      </w:pPr>
      <w:r>
        <w:rPr>
          <w:sz w:val="16"/>
          <w:szCs w:val="16"/>
        </w:rPr>
        <w:t xml:space="preserve">• Volume metrics (ServiceGamesPlayed, BreakPointsOpportunities, ReturnGamesPlayed, Aces, DoubleFaults) are by far the strongest linear predictors of yearly earnings and wins.</w:t>
      </w:r>
    </w:p>
    <w:p>
      <w:pPr>
        <w:spacing w:after="16"/>
      </w:pPr>
      <w:r>
        <w:rPr>
          <w:sz w:val="16"/>
          <w:szCs w:val="16"/>
        </w:rPr>
        <w:t xml:space="preserve">• A single well-chosen volume feature already explains &gt;80 % of the variance in Winnings; additional carefully selected features yield only marginal gains.</w:t>
      </w:r>
    </w:p>
    <w:p>
      <w:pPr>
        <w:spacing w:after="16"/>
      </w:pPr>
      <w:r>
        <w:rPr>
          <w:sz w:val="16"/>
          <w:szCs w:val="16"/>
        </w:rPr>
        <w:t xml:space="preserve">• Pure percentage / efficiency statistics add little predictive power once volume is controlled for—consistent with the idea that top earners simply contest far more matches.</w:t>
      </w:r>
    </w:p>
    <w:p>
      <w:pPr>
        <w:spacing w:after="16"/>
      </w:pPr>
      <w:r>
        <w:rPr>
          <w:sz w:val="16"/>
          <w:szCs w:val="16"/>
        </w:rPr>
        <w:t xml:space="preserve">• Model performance is robust to moderate changes in train/test split; it degrades quickly under heavy target noise or extreme data subsampling (shown in the simulation section).</w:t>
      </w:r>
    </w:p>
    <w:p>
      <w:pPr>
        <w:spacing w:after="16"/>
      </w:pPr>
      <w:r>
        <w:rPr>
          <w:sz w:val="16"/>
          <w:szCs w:val="16"/>
        </w:rPr>
        <w:t xml:space="preserve">• Practical implication: career longevity and match volume are tightly coupled with prize-money success on the ATP tour.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Codecademy Extended Project  •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4"/>
        <w:szCs w:val="14"/>
      </w:rPr>
      <w:t xml:space="preserve">Game, Set, Match! — Tennis Stats Linear Regression  |  Extended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50" w:before="1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750d95372353e30d1d30d69ee45d2d1f6846ee.png"/><Relationship Id="rId10" Type="http://schemas.openxmlformats.org/officeDocument/2006/relationships/image" Target="media/1ba318fa381e8aaa6b2677edc0110ca57ba1f917.png"/><Relationship Id="rId11" Type="http://schemas.openxmlformats.org/officeDocument/2006/relationships/image" Target="media/33545c865cd1e7e655d8439f736d92601926f08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2026-08-02T00:44:51.587Z</dcterms:created>
  <dcterms:modified xsi:type="dcterms:W3CDTF">2026-08-02T00:44:51.587Z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