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TO: </w:t>
      </w:r>
      <w:r>
        <w:t xml:space="preserve">Marketing Leadership, Product, Data Science</w:t>
      </w:r>
    </w:p>
    <w:p>
      <w:r>
        <w:rPr>
          <w:b/>
          <w:bCs/>
        </w:rPr>
        <w:t xml:space="preserve">FROM: </w:t>
      </w:r>
      <w:r>
        <w:t xml:space="preserve">Analytics Practice Team</w:t>
      </w:r>
    </w:p>
    <w:p>
      <w:r>
        <w:rPr>
          <w:b/>
          <w:bCs/>
        </w:rPr>
        <w:t xml:space="preserve">RE: </w:t>
      </w:r>
      <w:r>
        <w:t xml:space="preserve">Aggregates &amp; A/B Ad Results — Audience-Specific Talking Points</w:t>
      </w:r>
    </w:p>
    <w:p>
      <w:r>
        <w:rPr>
          <w:b/>
          <w:bCs/>
        </w:rPr>
        <w:t xml:space="preserve">DATE: </w:t>
      </w:r>
      <w:r>
        <w:t xml:space="preserve">August 2026</w:t>
      </w:r>
    </w:p>
    <w:p>
      <w:r>
        <w:t xml:space="preserve"/>
      </w:r>
    </w:p>
    <w:p>
      <w:pPr>
        <w:pStyle w:val="Heading1"/>
      </w:pPr>
      <w:r>
        <w:t xml:space="preserve">1. Executive Version (Decision-Oriented)</w:t>
      </w:r>
    </w:p>
    <w:p>
      <w:r>
        <w:t xml:space="preserve">We tested two ad creatives on four major platforms. Ad A produced a higher click-through rate (≈34.7 % vs 33.7 %). Facebook and Google delivered the strongest response. Recommendation: make Ad A the default creative and reallocate a larger share of spend to Facebook and Google. The test was balanced and the direction of the result is stable under moderate sample-size reduction.</w:t>
      </w:r>
    </w:p>
    <w:p>
      <w:pPr>
        <w:pStyle w:val="Heading1"/>
      </w:pPr>
      <w:r>
        <w:t xml:space="preserve">2. Analyst / Data-Science Version</w:t>
      </w:r>
    </w:p>
    <w:p>
      <w:r>
        <w:t xml:space="preserve">Pipeline: ad_clicks %&gt;% group_by(utm_source, ad_clicked) %&gt;% summarize(n = n()) %&gt;% group_by(utm_source) %&gt;% mutate(pct = n/sum(n)). Same pattern for experimental_group. Overall A CTR = 287/828, B = 278/826. Day-of-week CTRs vary; a formal test (binomial or logistic mixed model with day random effect) is the natural next step. One NA price in orders.csv handled with na.rm = TRUE. Simulation function confirms the A&gt;B edge persists at 50 % sample fraction. Code, alternates (base R prop.table), and parameterised simulation live in Aggregates_in_R_Solution.ipynb.</w:t>
      </w:r>
    </w:p>
    <w:p>
      <w:pPr>
        <w:pStyle w:val="Heading1"/>
      </w:pPr>
      <w:r>
        <w:t xml:space="preserve">3. Nonspecialist / Cross-Functional Version</w:t>
      </w:r>
    </w:p>
    <w:p>
      <w:r>
        <w:t xml:space="preserve">An aggregate is simply a single useful number that summarises many individual numbers—for example the average price of shoes sold, or the percentage of people who clicked an advertisement. We ran a fair comparison between two different ad designs (called A and B). Slightly more people clicked Ad A. People who found us through Facebook or Google were more likely to click than people who arrived from email or Twitter. That is why we suggest using Ad A going forward and putting more of our advertising effort on those two platforms.</w:t>
      </w:r>
    </w:p>
    <w:p>
      <w:pPr>
        <w:pStyle w:val="Heading1"/>
      </w:pPr>
      <w:r>
        <w:t xml:space="preserve">Why three versions?</w:t>
      </w:r>
    </w:p>
    <w:p>
      <w:r>
        <w:t xml:space="preserve">The attached audience PDFs emphasise data literacy, subject knowledge and mixed audiences. Executives need the decision; analysts need the method and diagnostics; nonspecialists need definitions and plain language. The underlying arithmetic is identical; only the framing changes.</w:t>
      </w:r>
    </w:p>
    <w:p>
      <w:pPr>
        <w:pStyle w:val="Heading1"/>
      </w:pPr>
      <w:r>
        <w:t xml:space="preserve">Supporting artefacts</w:t>
      </w:r>
    </w:p>
    <w:p>
      <w:pPr>
        <w:pStyle w:val="ListParagraph"/>
        <w:numPr>
          <w:ilvl w:val="0"/>
          <w:numId w:val="2"/>
        </w:numPr>
      </w:pPr>
      <w:r>
        <w:t xml:space="preserve">Aggregates_in_R_Practice_Skeleton.ipynb / Solution.ipynb</w:t>
      </w:r>
    </w:p>
    <w:p>
      <w:pPr>
        <w:pStyle w:val="ListParagraph"/>
        <w:numPr>
          <w:ilvl w:val="0"/>
          <w:numId w:val="2"/>
        </w:numPr>
      </w:pPr>
      <w:r>
        <w:t xml:space="preserve">Aggregates_in_R_1Page_Summary_Report.docx</w:t>
      </w:r>
    </w:p>
    <w:p>
      <w:pPr>
        <w:pStyle w:val="ListParagraph"/>
        <w:numPr>
          <w:ilvl w:val="0"/>
          <w:numId w:val="2"/>
        </w:numPr>
      </w:pPr>
      <w:r>
        <w:t xml:space="preserve">Aggregates_in_R_Cheatsheet.docx &amp; Strategy_Guide.docx</w:t>
      </w:r>
    </w:p>
    <w:p>
      <w:pPr>
        <w:pStyle w:val="ListParagraph"/>
        <w:numPr>
          <w:ilvl w:val="0"/>
          <w:numId w:val="2"/>
        </w:numPr>
      </w:pPr>
      <w:r>
        <w:t xml:space="preserve">data_aggregates_r/ (orders, page_visits, ad_clicks) + flowchart</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Audience-adapted messaging based on supplied PDFs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INTERNAL MEMO — ShoeFly.com Marketing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40"/>
    </w:pPr>
    <w:rPr>
      <w:rFonts w:ascii="Calibri" w:cs="Calibri" w:eastAsia="Calibri" w:hAnsi="Calibri"/>
      <w:b/>
      <w:bCs/>
      <w:color w:val="1F4E79"/>
      <w:sz w:val="26"/>
      <w:szCs w:val="26"/>
    </w:rPr>
  </w:style>
  <w:style w:type="paragraph" w:styleId="Heading2">
    <w:name w:val="Heading 2"/>
    <w:basedOn w:val="Normal"/>
    <w:next w:val="Normal"/>
    <w:pPr>
      <w:spacing w:after="60" w:before="180"/>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2026-08-21T14:30:22.283Z</dcterms:created>
  <dcterms:modified xsi:type="dcterms:W3CDTF">2026-08-21T14:30:22.287Z</dcterms:modified>
</cp:coreProperties>
</file>

<file path=docProps/custom.xml><?xml version="1.0" encoding="utf-8"?>
<Properties xmlns="http://schemas.openxmlformats.org/officeDocument/2006/custom-properties" xmlns:vt="http://schemas.openxmlformats.org/officeDocument/2006/docPropsVTypes"/>
</file>