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A5276"/>
          <w:sz w:val="28"/>
          <w:szCs w:val="28"/>
        </w:rPr>
        <w:t xml:space="preserve">Strategy Document: Framing &amp; Storyline for Multi-File Data-Cleaning Projects</w:t>
      </w:r>
    </w:p>
    <w:p>
      <w:pPr>
        <w:spacing w:after="200"/>
      </w:pPr>
      <w:r>
        <w:rPr>
          <w:i/>
          <w:iCs/>
          <w:sz w:val="18"/>
          <w:szCs w:val="18"/>
        </w:rPr>
        <w:t xml:space="preserve">How to turn a messy collection of CSV extracts into a repeatable, audience-ready analysis pipeline (illustrated with US Census data).</w:t>
      </w:r>
    </w:p>
    <w:p>
      <w:pPr>
        <w:pStyle w:val="Heading2"/>
      </w:pPr>
      <w:r>
        <w:rPr>
          <w:b/>
          <w:bCs/>
          <w:color w:val="1A5276"/>
          <w:sz w:val="22"/>
          <w:szCs w:val="22"/>
        </w:rPr>
        <w:t xml:space="preserve">1. The Narrative Arc</w:t>
      </w:r>
    </w:p>
    <w:p>
      <w:pPr>
        <w:spacing w:after="120"/>
      </w:pPr>
      <w:r>
        <w:rPr>
          <w:sz w:val="18"/>
          <w:szCs w:val="18"/>
        </w:rPr>
        <w:t xml:space="preserve">Every successful cleaning project follows the same story: (1) Chaos of many files → (2) Diagnosis of structural problems → (3) Surgical string &amp; type fixes → (4) Deduplication → (5) First insights that justify the effort. Frame the work as “making the data trustworthy so the organization can act,” not as a technical exercise. Primary audience (collaborator/client) cares about the final clean table and the first three insights; secondary technical audience cares about the reproducibility of the pipeline and the audit trail of every mutate/gsub/distinct step.</w:t>
      </w:r>
    </w:p>
    <w:p>
      <w:pPr>
        <w:pStyle w:val="Heading2"/>
      </w:pPr>
      <w:r>
        <w:rPr>
          <w:b/>
          <w:bCs/>
          <w:color w:val="1A5276"/>
          <w:sz w:val="22"/>
          <w:szCs w:val="22"/>
        </w:rPr>
        <w:t xml:space="preserve">2. Audience Adaptation (from the supplied PDFs)</w:t>
      </w:r>
    </w:p>
    <w:p>
      <w:pPr>
        <w:spacing w:after="80"/>
      </w:pPr>
      <w:r>
        <w:rPr>
          <w:sz w:val="18"/>
          <w:szCs w:val="18"/>
        </w:rPr>
        <w:t xml:space="preserve">• Data-literate analysts / data scientists: keep the full tidyverse pipeline, show str() before/after, discuss edge cases (overlapping states, floating-point race sums).</w:t>
      </w:r>
    </w:p>
    <w:p>
      <w:pPr>
        <w:spacing w:after="80"/>
      </w:pPr>
      <w:r>
        <w:rPr>
          <w:sz w:val="18"/>
          <w:szCs w:val="18"/>
        </w:rPr>
        <w:t xml:space="preserve">• Executives / policy makers: lead with the 1-page summary, the four-panel insight chart, and three bullet recommendations; hide the code.</w:t>
      </w:r>
    </w:p>
    <w:p>
      <w:pPr>
        <w:spacing w:after="120"/>
      </w:pPr>
      <w:r>
        <w:rPr>
          <w:sz w:val="18"/>
          <w:szCs w:val="18"/>
        </w:rPr>
        <w:t xml:space="preserve">• Mixed or non-specialist audiences: use the flowchart as the primary visual, explain each box in plain language, and provide a “before / after” table of one messy row versus its cleaned counterpart.</w:t>
      </w:r>
    </w:p>
    <w:p>
      <w:pPr>
        <w:pStyle w:val="Heading2"/>
      </w:pPr>
      <w:r>
        <w:rPr>
          <w:b/>
          <w:bCs/>
          <w:color w:val="1A5276"/>
          <w:sz w:val="22"/>
          <w:szCs w:val="22"/>
        </w:rPr>
        <w:t xml:space="preserve">3. Reusable Workflow Template</w:t>
      </w:r>
    </w:p>
    <w:p>
      <w:pPr>
        <w:spacing w:after="80"/>
      </w:pPr>
      <w:r>
        <w:rPr>
          <w:sz w:val="18"/>
          <w:szCs w:val="18"/>
        </w:rPr>
        <w:t xml:space="preserve">1. Inventory files (list.files + pattern) and load with a single bind_rows call.
2. Run the diagnosis checklist: colnames, str, head, any duplicated, any symbols in numeric fields, any concatenated columns.
3. Drop pure index columns.
4. Systematic string cleaning (gsub for %, $, currency, units).
5. separate() or str_sub() for multi-value columns.
6. Type conversion + scaling (percent → decimal).
7. distinct() and re-check.
8. Write the clean artifact + a one-page summary + flowchart.
9. Optional Monte-Carlo / sensitivity section that re-runs the pipeline under missing-file or extra-noise scenarios.</w:t>
      </w:r>
    </w:p>
    <w:p>
      <w:pPr>
        <w:pStyle w:val="Heading2"/>
      </w:pPr>
      <w:r>
        <w:rPr>
          <w:b/>
          <w:bCs/>
          <w:color w:val="1A5276"/>
          <w:sz w:val="22"/>
          <w:szCs w:val="22"/>
        </w:rPr>
        <w:t xml:space="preserve">4. Top 5 Topics That Can Be Analyzed the Same Way</w:t>
      </w:r>
    </w:p>
    <w:p>
      <w:pPr>
        <w:spacing w:after="60"/>
      </w:pPr>
      <w:r>
        <w:rPr>
          <w:sz w:val="18"/>
          <w:szCs w:val="18"/>
        </w:rPr>
        <w:t xml:space="preserve">1. State / provincial election returns split across multiple county files (vote totals, candidate names with party suffixes, turnout %).</w:t>
      </w:r>
    </w:p>
    <w:p>
      <w:pPr>
        <w:spacing w:after="60"/>
      </w:pPr>
      <w:r>
        <w:rPr>
          <w:sz w:val="18"/>
          <w:szCs w:val="18"/>
        </w:rPr>
        <w:t xml:space="preserve">2. Hospital or clinic performance metrics released as monthly CSVs (readmission rates with %, cost figures with $, combined “beds_staffed” fields).</w:t>
      </w:r>
    </w:p>
    <w:p>
      <w:pPr>
        <w:spacing w:after="60"/>
      </w:pPr>
      <w:r>
        <w:rPr>
          <w:sz w:val="18"/>
          <w:szCs w:val="18"/>
        </w:rPr>
        <w:t xml:space="preserve">3. School-district assessment scores (multiple years/files, proficiency % symbols, combined “grade_subject” columns).</w:t>
      </w:r>
    </w:p>
    <w:p>
      <w:pPr>
        <w:spacing w:after="60"/>
      </w:pPr>
      <w:r>
        <w:rPr>
          <w:sz w:val="18"/>
          <w:szCs w:val="18"/>
        </w:rPr>
        <w:t xml:space="preserve">4. Environmental sensor or air-quality station extracts (multiple stations, concentration units embedded in strings, date-time concatenated fields).</w:t>
      </w:r>
    </w:p>
    <w:p>
      <w:pPr>
        <w:spacing w:after="120"/>
      </w:pPr>
      <w:r>
        <w:rPr>
          <w:sz w:val="18"/>
          <w:szCs w:val="18"/>
        </w:rPr>
        <w:t xml:space="preserve">5. Retail or e-commerce order dumps by region (price with currency symbols, SKU_size concatenated, overlapping daily files producing duplicates).</w:t>
      </w:r>
    </w:p>
    <w:p>
      <w:pPr>
        <w:pStyle w:val="Heading2"/>
      </w:pPr>
      <w:r>
        <w:rPr>
          <w:b/>
          <w:bCs/>
          <w:color w:val="1A5276"/>
          <w:sz w:val="22"/>
          <w:szCs w:val="22"/>
        </w:rPr>
        <w:t xml:space="preserve">5. Success Criteria &amp; Storyline Checkpoint</w:t>
      </w:r>
    </w:p>
    <w:p>
      <w:pPr>
        <w:spacing w:after="80"/>
      </w:pPr>
      <w:r>
        <w:rPr>
          <w:sz w:val="18"/>
          <w:szCs w:val="18"/>
        </w:rPr>
        <w:t xml:space="preserve">You are done when: (a) one clean rectangular table exists, (b) every numeric column is truly numeric, (c) zero exact duplicate rows remain, (d) a flowchart and 1-page summary can be handed to any audience, and (e) the same notebook can be re-run next month on a new batch of files with only the path/pattern changed. That is the storyline you sell: from “we can’t trust the files” to “we have a living, reproducible pipeline.”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Audience-aware framing  |  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Data-Cleaning Strategy Guide — Multi-File Administrative / Survey Extracts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2026-08-21T13:47:29.153Z</dcterms:created>
  <dcterms:modified xsi:type="dcterms:W3CDTF">2026-08-21T13:47:29.153Z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