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1985 Cars Dataset — dplyr Data-Frame Manipulation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Extended Project Summary  |  Practice Skeleton + Solution + Simulation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Problem Statement</w:t>
      </w:r>
    </w:p>
    <w:p>
      <w:pPr>
        <w:spacing w:after="80"/>
      </w:pPr>
      <w:r>
        <w:rPr>
          <w:rFonts w:ascii="Arial" w:cs="Arial" w:eastAsia="Arial" w:hAnsi="Arial"/>
          <w:sz w:val="17"/>
          <w:szCs w:val="17"/>
        </w:rPr>
        <w:t xml:space="preserve">A collector wants to add one 1985 automobile to a growing collection. The UCI Automobile data set (205 cars, 26 attributes) contains risk ratings, dimensions, engine size, fuel economy and price, but is not analysis-ready: many missing values in normalized_losses, cryptic column names (symboling), and no ready-made “value” or threshold metrics. The task is to clean the data with dplyr, engineer an MPG-advantage feature, filter and rank candidates, focus on preferred makes, and test how sensitive the short-list is to changes in the MPG threshold, budget and minimum engine size.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Solution Strategy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Follow a reproducible tidyverse pipeline that mirrors the teaching sequence of “Introduction to Data Frames” and “Modifying Data Frames”: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Load with readr::read_csv and inspect with head / summary.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Clean: select(-normalized_losses); rename(risk_factor = symboling).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Feature engineering: mutate(mpg_diff_from_threshold = highway_mpg – 30) and an optional value_score = highway_mpg / (price/1000).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Filter (mpg_diff &gt; 0) then arrange(desc(mpg_diff)) and separately by engine_size; subset by chosen make.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7"/>
          <w:szCs w:val="17"/>
        </w:rPr>
        <w:t xml:space="preserve">Add alternate base-R paths, extra practice (price/body-style filters, risk labels, top-N per make) and a parameterised simulation + sensitivity table.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Solution (Key Results)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After dropping normalized_losses the frame is 205 × 25. Setting a 30 mpg highway threshold retains 98 cars. The largest MPG advantages belong to small Honda, Chevrolet and Nissan models (highway_mpg 47–54). Largest engines (Jaguar / Mercedes-Benz, &gt;300 cu in) sit at the opposite end of the efficiency spectrum. Toyota (n = 32) offers a wide range of engine sizes with mean highway_mpg ≈ 32.9; Honda emphasises efficiency (mean ≈ 35.5). A simple value_score surfaces low-price, high-MPG candidates as the strongest “collection value” under a pure efficiency-and-cost criterion. Sensitivity analysis shows the candidate pool shrinks rapidly once the threshold rises above 32–35 mpg. Monte-Carlo ±2 mpg noise leaves the very top ranks relatively stable.</w:t>
      </w:r>
    </w:p>
    <w:p>
      <w:pPr>
        <w:spacing w:after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Flowchart of the end-to-end workflow is embedded in both the Practice Skeleton and Solution notebooks (cars85_dataframe_flowchart.png).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dplyr verbs + pipe give a readable, left-to-right data-cleaning story that is easy to audit and to adapt for different audiences.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Always inspect (head/summary) before and after each transformation; missing values and cryptic names are common in real 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mutate vs transmute and select vs filter are the two distinctions that trip learners most often—practice both forms.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A short parameterised simulation (threshold / make / budget / min engine) turns a static homework into a decision-support tool and reveals sensitivity.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Audience adaptation: technical supervisors want the full pipeline and alternates; executives want the 2–3 car short-list and one clear metric; non-specialists need plain language and simple visuals.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Files: Cars85_Data_Frames_Practice_Skeleton.ipynb  •  Cars85_Data_Frames_Solution.ipynb  •  Cars85_Data_Frames_Cheatsheet.docx  •  data/cars85.csv  •  cars85_dataframe_flowchart.png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Extended Project  •  R / tidyverse  •  UCI Automobile 1985  •  Page </w:t>
    </w: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4"/>
        <w:szCs w:val="14"/>
      </w:rPr>
      <w:t xml:space="preserve">Cars85 Data Frames (dplyr) — 1-Page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2026-08-21T12:25:24.493Z</dcterms:created>
  <dcterms:modified xsi:type="dcterms:W3CDTF">2026-08-21T12:25:24.493Z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