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RFM + K-Means Bank Customer Segmentation</w:t>
      </w:r>
    </w:p>
    <w:p>
      <w:pPr>
        <w:spacing w:after="8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5"/>
          <w:szCs w:val="15"/>
        </w:rPr>
        <w:t xml:space="preserve">Short name: BankRFM   ·   Core extract (18,310 postings → 3,250 CIF)   ·   Dec 2010–Dec 2011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Problem Statement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 retail bank has posting-level activity and needs relationship groups it can treat differently — protect, nurture, win-back — without a labelled training set. Postings are the wrong grain: twelve card swipes is activity, not twelve customers. Missing CustomerID (~22%) and reversals cannot join a segment. Monetary is heavily right-skewed (commercial wires), so a raw-scale K-Means would be a whale detector, not a behaviour model.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 Strategy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to posted flow (drop NA CIF, Quantity &gt; 0, UnitAmount &gt; 0). Collapse to Recency / Frequency / Monetary against snapshot = max(TxnDate)+1 day. Compress skew with log1p, z-score, choose k from elbow + silhouette + treatment capacity, fit K-Means (k=4, n_init=10, seed=42), name bins from median R/F/M in dollars and days, and use PCA only as a 2-D slide (98% of scaled variance).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</w:t>
      </w:r>
    </w:p>
    <w:p>
      <w:pPr>
        <w:spacing w:after="5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book: 13,892 postings, 3,250 CIF, $2.59M posted flow. RFM medians — Recency 90 days, Frequency 2 postings, Monetary $86 (mean $797; max $134k). Elbow flattens after k=4; silhouette ~0.55. PCA: PC1 80% (+F +M −R, a value axis), PC2 18% (recency contrast).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100"/>
        <w:gridCol w:w="1100"/>
        <w:gridCol w:w="3800"/>
      </w:tblGrid>
      <w:tr>
        <w:tc>
          <w:tcPr>
            <w:tcW w:type="dxa" w:w="26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 (k=4)</w:t>
            </w:r>
          </w:p>
        </w:tc>
        <w:tc>
          <w:tcPr>
            <w:tcW w:type="dxa" w:w="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CIF</w:t>
            </w:r>
          </w:p>
        </w:tc>
        <w:tc>
          <w:tcPr>
            <w:tcW w:type="dxa" w:w="11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flow</w:t>
            </w:r>
          </w:p>
        </w:tc>
        <w:tc>
          <w:tcPr>
            <w:tcW w:type="dxa" w:w="3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 R / F / $</w:t>
            </w:r>
          </w:p>
        </w:tc>
      </w:tr>
      <w:tr>
        <w:tc>
          <w:tcPr>
            <w:tcW w:type="dxa" w:w="26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Relationship core (cl. 1)</w:t>
            </w:r>
          </w:p>
        </w:tc>
        <w:tc>
          <w:tcPr>
            <w:tcW w:type="dxa" w:w="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554</w:t>
            </w:r>
          </w:p>
        </w:tc>
        <w:tc>
          <w:tcPr>
            <w:tcW w:type="dxa" w:w="11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17.0</w:t>
            </w:r>
          </w:p>
        </w:tc>
        <w:tc>
          <w:tcPr>
            <w:tcW w:type="dxa" w:w="11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87.0</w:t>
            </w:r>
          </w:p>
        </w:tc>
        <w:tc>
          <w:tcPr>
            <w:tcW w:type="dxa" w:w="3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 d / 13 txn / $1,961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New / light user (cl. 2)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632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19.4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1.7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16 d / 2 txn / $63</w:t>
            </w:r>
          </w:p>
        </w:tc>
      </w:tr>
      <w:tr>
        <w:tc>
          <w:tcPr>
            <w:tcW w:type="dxa" w:w="26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Slipping mid-book (cl. 3)</w:t>
            </w:r>
          </w:p>
        </w:tc>
        <w:tc>
          <w:tcPr>
            <w:tcW w:type="dxa" w:w="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851</w:t>
            </w:r>
          </w:p>
        </w:tc>
        <w:tc>
          <w:tcPr>
            <w:tcW w:type="dxa" w:w="11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26.2</w:t>
            </w:r>
          </w:p>
        </w:tc>
        <w:tc>
          <w:tcPr>
            <w:tcW w:type="dxa" w:w="11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9.7</w:t>
            </w:r>
          </w:p>
        </w:tc>
        <w:tc>
          <w:tcPr>
            <w:tcW w:type="dxa" w:w="3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93 d / 4 txn / $260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Dormant / at-risk close (cl. 0)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1,213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37.3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1.6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222 d / 1 txn / $29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29527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 first, then scale. Clustering raw Monetary is a commercial-wire detector.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 clusters from original-unit medians. Cluster integers shuffle with seed and 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17% of CIF produce 87% of observed posted flow — protect the core; slipping mid-book is the cheapest win-back.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PCA is a picture (98% in 2-D here), not the model. Frequency must be nunique(TxnNo), not product-line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 a credit decision and not a Call Report. Refit before quoting another charter’s k.</w:t>
      </w:r>
    </w:p>
    <w:sectPr>
      <w:headerReference w:type="default" r:id="rId7"/>
      <w:footerReference w:type="default" r:id="rId8"/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3"/>
        <w:szCs w:val="13"/>
      </w:rPr>
      <w:t xml:space="preserve">Not a credit decision. Cluster ids are arbitrary — name bins from original-unit medians.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BankRFM  ·  RFM + K-Means Bank Segmentation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91412ef7cf7027d8e8666e291f99f6074b1a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2026-09-08T06:17:49.205Z</dcterms:created>
  <dcterms:modified xsi:type="dcterms:W3CDTF">2026-09-08T06:17:49.205Z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