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6"/>
          <w:szCs w:val="36"/>
        </w:rPr>
        <w:t xml:space="preserve">Project memo</w:t>
      </w:r>
    </w:p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6655"/>
          <w:sz w:val="22"/>
          <w:szCs w:val="22"/>
        </w:rPr>
        <w:t xml:space="preserve">RFM + K-Means on a retail-bank core extract (BankRFM)</w:t>
      </w:r>
    </w:p>
    <w:p>
      <w:pPr>
        <w:spacing w:after="80" w:before="0" w:line="2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Retail analytics, CRM / branch ops, Head of Retail / CFO, branch floor / comms</w:t>
      </w:r>
    </w:p>
    <w:p>
      <w:pPr>
        <w:spacing w:after="80" w:before="0" w:line="2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Analytics practice</w:t>
      </w:r>
    </w:p>
    <w:p>
      <w:pPr>
        <w:spacing w:after="200" w:before="0" w:line="2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How to talk about four unlabelled relationship bins without overselling them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This memo follows Jočys (data literacy, subject knowledge, time span) and McMurrey (expert / technician / executive / nonspecialist). Same facts; four pitches. None of them is a credit decision, a BSA typology, or a deposit-pricing launch.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Facts everyone can share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3,250 identifiable CIF, $2.59M observed posted flow on this extract, Dec 2010–Dec 2011.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Four behaviour bins from Recency, Frequency, Monetary after log1p + z-score.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Relationship core: 17% of CIF, 87% of posted flow. Dormant: 37% of CIF, 2% of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Slipping mid-book (26% of CIF, 10% of flow) is the cheapest win-back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Cluster integers are an implementation detail. The names come from median days / postings / dollars.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 Expert — retail-bank / CRM scientist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Literacy: high. Subject: RFM and spherical K-Means are familiar. Time: they will read the elbow.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Inertia path ~9750 → 4451 → 2578 → 1493 (k=1..4), then a flat step to 1306 at k=5. Silhouette peaks at k=4 (~0.55).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Loadings after the plot’s PC1 flip: PC1 (−R, +F, +M), PC2 (+R). Do not treat the 2-D scatter as the partition — the partition ran in 3-D.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n_init=10, seed=42. Frequency is nunique(TxnNo). Monetary is posted flow, not average balance and not NII.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k=4 matches the elbow; name bins from medians; persist scaler + centres + name map together; do not send the label to origination.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 Technician — CRM / branch ops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Literacy: mixed. Subject: they know the campaign tool and the Dormant-account report, not silhouette. Time: a four-row treatment table.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4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6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 week</w:t>
            </w:r>
          </w:p>
        </w:tc>
        <w:tc>
          <w:tcPr>
            <w:tcW w:type="dxa" w:w="34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</w:t>
            </w:r>
          </w:p>
        </w:tc>
      </w:tr>
      <w:tr>
        <w:tc>
          <w:tcPr>
            <w:tcW w:type="dxa" w:w="2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Relationship core</w:t>
            </w:r>
          </w:p>
        </w:tc>
        <w:tc>
          <w:tcPr>
            <w:tcW w:type="dxa" w:w="36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Protect service; relationship manager; no blanket fee-waiver blast</w:t>
            </w:r>
          </w:p>
        </w:tc>
        <w:tc>
          <w:tcPr>
            <w:tcW w:type="dxa" w:w="34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spray a cheap win-back coupon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 / light user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Second-product nudge (savings, card, bill-pay)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treat as private-bank</w:t>
            </w:r>
          </w:p>
        </w:tc>
      </w:tr>
      <w:tr>
        <w:tc>
          <w:tcPr>
            <w:tcW w:type="dxa" w:w="28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Slipping mid-book</w:t>
            </w:r>
          </w:p>
        </w:tc>
        <w:tc>
          <w:tcPr>
            <w:tcW w:type="dxa" w:w="36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Win-back with a reason; check last product</w:t>
            </w:r>
          </w:p>
        </w:tc>
        <w:tc>
          <w:tcPr>
            <w:tcW w:type="dxa" w:w="34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wait another quarter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Dormant / at-risk close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Cheap test, or leave quiet / escheat path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burn the brand on a deep cut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Relationship core is cluster 1 on seed 42 of this extract; join on CustomerID; suppress cluster 0 from the expensive win-back until a human reviews the offer.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 Executive — Head of Retail / CFO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Literacy: low-to-medium on clustering. Subject: they know contribution and deposit mix, not inertia. Time span: one slide in a Monday pack.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Value is concentrated: roughly one in six CIF produces about seven-eighths of observed posted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second pool (slipping mid-book) still holds ~10% of flow and has banked here before — cheaper to recover than to acquire.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largest pool by headcount is cold and low-flow. Paying full CRM rates there is a budget leak.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17% of CIF produce 87% of observed posted flow; fund a protect-the-core track and a mid-book win-back before you buy more originations.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 Nonspecialist — branch lead / journalist / new joiner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Literacy: do not open with PCA. Subject: banking is familiar; RFM is not. Time: a paragraph.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We sorted identifiable customers by three ordinary questions: how lately they posted, how often they posted, and how much flowed through the account. That split them into four piles a person can brief on the branch floor — the regulars who keep the franchise busy, the recent light users, the previously decent relationships that have gone quiet, and the long-silent one-ticket CIF. We did not use FICO, first name, or census tract.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we grouped customers by how lately, how often, and how much they posted — not by who they are.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Situation (McMurrey)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Purpose: a teaching project that also produces a campaign-ready four-row card.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Readers mix experts and executives on the same repo — headings must signpost the pitch.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Constraints: synthetic extract; dollars; one year; no margin, no PD, no average-balance field.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Tone: no private-bank launch language, no “AI discovered our VIPs,” no credit-policy claim.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BankRFM memo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BankRFM project memo  ·  four audiences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8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2026-09-08T06:17:49.215Z</dcterms:created>
  <dcterms:modified xsi:type="dcterms:W3CDTF">2026-09-08T06:17:49.215Z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