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0"/>
          <w:szCs w:val="30"/>
        </w:rPr>
        <w:t xml:space="preserve">RFM + K-Means Customer Segmentation</w:t>
      </w:r>
    </w:p>
    <w:p>
      <w:pPr>
        <w:spacing w:after="80" w:before="0" w:line="2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5"/>
          <w:szCs w:val="15"/>
        </w:rPr>
        <w:t xml:space="preserve">Short name: CustSeg   ·   Online Retail extract (36,110 lines → 3,496 customers)   ·   Dec 2010–Dec 2011</w:t>
      </w:r>
    </w:p>
    <w:p>
      <w:pPr>
        <w:pStyle w:val="Heading1"/>
        <w:spacing w:after="40" w:before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Problem Statement</w:t>
      </w:r>
    </w:p>
    <w:p>
      <w:pPr>
        <w:spacing w:after="6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A gift retailer has invoice-level sales and needs customer groups it can treat differently — win-back, nurture, protect — without a labelled training set. Line items are the wrong grain: 30 SKUs on one ticket is one visit. Missing CustomerID (~25%) and returns cannot join a segment. Monetary and Frequency are heavily right-skewed, so a raw-scale K-Means would be a whale detector, not a behaviour model.</w:t>
      </w:r>
    </w:p>
    <w:p>
      <w:pPr>
        <w:pStyle w:val="Heading1"/>
        <w:spacing w:after="40" w:before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Solution Strategy</w:t>
      </w:r>
    </w:p>
    <w:p>
      <w:pPr>
        <w:spacing w:after="6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Clean to paid sales (drop NA CustomerID, Quantity &gt; 0, UnitPrice &gt; 0). Collapse to Recency / Frequency / Monetary against snapshot = max(InvoiceDate)+1 day. Compress skew with log1p, z-score, choose k from elbow + silhouette + campaign capacity, fit K-Means (k=4, n_init=10, seed=42), name bins from median R/F/M in pounds and days, and use PCA only as a 2-D slide (92% of scaled variance).</w:t>
      </w:r>
    </w:p>
    <w:p>
      <w:pPr>
        <w:pStyle w:val="Heading1"/>
        <w:spacing w:after="40" w:before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Solution</w:t>
      </w:r>
    </w:p>
    <w:p>
      <w:pPr>
        <w:spacing w:after="6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Clean book: 26,369 line items, 3,496 customers, £572,260 revenue, 81% UK. RFM medians — Recency 59 days, Frequency 2 invoices, Monetary £59 (mean £164; max £23,181). Silhouette 0.325 at k=4 vs 0.320 at k=3. PCA: PC1 71% (+F +M −R, a value axis), PC2 21% (recency contrast).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1000"/>
        <w:gridCol w:w="4200"/>
      </w:tblGrid>
      <w:tr>
        <w:tc>
          <w:tcPr>
            <w:tcW w:type="dxa" w:w="2400"/>
            <w:shd w:fill="1B4F72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 (k=4)</w:t>
            </w:r>
          </w:p>
        </w:tc>
        <w:tc>
          <w:tcPr>
            <w:tcW w:type="dxa" w:w="800"/>
            <w:shd w:fill="1B4F72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shd w:fill="1B4F72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cust</w:t>
            </w:r>
          </w:p>
        </w:tc>
        <w:tc>
          <w:tcPr>
            <w:tcW w:type="dxa" w:w="1000"/>
            <w:shd w:fill="1B4F72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rev</w:t>
            </w:r>
          </w:p>
        </w:tc>
        <w:tc>
          <w:tcPr>
            <w:tcW w:type="dxa" w:w="4200"/>
            <w:shd w:fill="1B4F72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R / F / £</w:t>
            </w:r>
          </w:p>
        </w:tc>
      </w:tr>
      <w:tr>
        <w:tc>
          <w:tcPr>
            <w:tcW w:type="dxa" w:w="2400"/>
            <w:shd w:fill="E8F8F5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Champions (cl. 2)</w:t>
            </w:r>
          </w:p>
        </w:tc>
        <w:tc>
          <w:tcPr>
            <w:tcW w:type="dxa" w:w="800"/>
            <w:shd w:fill="E8F8F5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582</w:t>
            </w:r>
          </w:p>
        </w:tc>
        <w:tc>
          <w:tcPr>
            <w:tcW w:type="dxa" w:w="1000"/>
            <w:shd w:fill="E8F8F5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16.6</w:t>
            </w:r>
          </w:p>
        </w:tc>
        <w:tc>
          <w:tcPr>
            <w:tcW w:type="dxa" w:w="1000"/>
            <w:shd w:fill="E8F8F5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63.7</w:t>
            </w:r>
          </w:p>
        </w:tc>
        <w:tc>
          <w:tcPr>
            <w:tcW w:type="dxa" w:w="4200"/>
            <w:shd w:fill="E8F8F5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12.5 d / 7 inv / £278</w:t>
            </w:r>
          </w:p>
        </w:tc>
      </w:tr>
      <w:tr>
        <w:tc>
          <w:tcPr>
            <w:tcW w:type="dxa" w:w="2400"/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Recent occasional (cl. 3)</w:t>
            </w:r>
          </w:p>
        </w:tc>
        <w:tc>
          <w:tcPr>
            <w:tcW w:type="dxa" w:w="800"/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715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20.5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7.1</w:t>
            </w:r>
          </w:p>
        </w:tc>
        <w:tc>
          <w:tcPr>
            <w:tcW w:type="dxa" w:w="4200"/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17 d / 2 inv / £47</w:t>
            </w:r>
          </w:p>
        </w:tc>
      </w:tr>
      <w:tr>
        <w:tc>
          <w:tcPr>
            <w:tcW w:type="dxa" w:w="2400"/>
            <w:shd w:fill="FEF9E7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Slipping mid-value (cl. 0)</w:t>
            </w:r>
          </w:p>
        </w:tc>
        <w:tc>
          <w:tcPr>
            <w:tcW w:type="dxa" w:w="800"/>
            <w:shd w:fill="FEF9E7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930</w:t>
            </w:r>
          </w:p>
        </w:tc>
        <w:tc>
          <w:tcPr>
            <w:tcW w:type="dxa" w:w="1000"/>
            <w:shd w:fill="FEF9E7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26.6</w:t>
            </w:r>
          </w:p>
        </w:tc>
        <w:tc>
          <w:tcPr>
            <w:tcW w:type="dxa" w:w="1000"/>
            <w:shd w:fill="FEF9E7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23.3</w:t>
            </w:r>
          </w:p>
        </w:tc>
        <w:tc>
          <w:tcPr>
            <w:tcW w:type="dxa" w:w="4200"/>
            <w:shd w:fill="FEF9E7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79 d / 3 inv / £111</w:t>
            </w:r>
          </w:p>
        </w:tc>
      </w:tr>
      <w:tr>
        <w:tc>
          <w:tcPr>
            <w:tcW w:type="dxa" w:w="2400"/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Lost / hibernating (cl. 1)</w:t>
            </w:r>
          </w:p>
        </w:tc>
        <w:tc>
          <w:tcPr>
            <w:tcW w:type="dxa" w:w="800"/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1,269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36.3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5.8</w:t>
            </w:r>
          </w:p>
        </w:tc>
        <w:tc>
          <w:tcPr>
            <w:tcW w:type="dxa" w:w="4200"/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170 d / 1 inv / £21</w:t>
            </w:r>
          </w:p>
        </w:tc>
      </w:tr>
    </w:tbl>
    <w:p>
      <w:pPr>
        <w:spacing w:after="40" w:before="40"/>
        <w:jc w:val="center"/>
      </w:pPr>
      <w:r>
        <w:drawing>
          <wp:inline distT="0" distB="0" distL="0" distR="0">
            <wp:extent cx="295275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40" w:before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Log first, then scale. Clustering raw Monetary is a wholesale-detector.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Name clusters from original-unit medians. Cluster integers shuffle with seed and 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17% of customers produce 64% of observed revenue — protect Champions; slipping mid-value is the cheapest win-back.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PCA is a picture (92% in 2-D here), not the model. Frequency must be nunique(InvoiceNo), not line-item count.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This file is an extract (36k rows), not the full 541k UCI dump — refit before quoting another paper’s k=3 story.</w:t>
      </w:r>
    </w:p>
    <w:sectPr>
      <w:headerReference w:type="default" r:id="rId7"/>
      <w:footerReference w:type="default" r:id="rId8"/>
      <w:pgSz w:w="12240" w:h="15840" w:orient="portrait"/>
      <w:pgMar w:top="560" w:right="640" w:bottom="56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30"/>
      <w:jc w:val="left"/>
    </w:pPr>
    <w:r>
      <w:rPr>
        <w:rFonts w:ascii="Arial" w:cs="Arial" w:eastAsia="Arial" w:hAnsi="Arial"/>
        <w:b w:val="false"/>
        <w:bCs w:val="false"/>
        <w:i/>
        <w:iCs/>
        <w:color w:val="888888"/>
        <w:sz w:val="13"/>
        <w:szCs w:val="13"/>
      </w:rPr>
      <w:t xml:space="preserve">Not a loyalty engine. Cluster ids are arbitrary — name bins from original-unit medians.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3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CustSeg  ·  RFM + K-Means Customer Segmentation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100"/>
      <w:outlineLvl w:val="0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e0278e5e49a1dded5219556153ec1f3f98aecc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2026-09-08T03:55:16.857Z</dcterms:created>
  <dcterms:modified xsi:type="dcterms:W3CDTF">2026-09-08T03:55:16.857Z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