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6"/>
          <w:szCs w:val="36"/>
        </w:rPr>
        <w:t xml:space="preserve">Project memo</w:t>
      </w:r>
    </w:p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6655"/>
          <w:sz w:val="22"/>
          <w:szCs w:val="22"/>
        </w:rPr>
        <w:t xml:space="preserve">RFM + K-Means on the Online Retail extract (CustSeg)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CRM science, campaign operations, commercial leadership, store / comms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Analytics practice</w:t>
      </w:r>
    </w:p>
    <w:p>
      <w:pPr>
        <w:spacing w:after="200" w:before="0" w:line="24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How to talk about four unlabelled customer bins without overselling them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This memo follows Jočys (data literacy, subject knowledge, time span) and McMurrey (expert / technician / executive / nonspecialist). Same facts; four pitches. None of them is a credit decision or a loyalty-tier launch.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Facts everyone can share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3,496 identifiable buyers, £572k observed revenue on this extract, Dec 2010–Dec 2011.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Four behaviour bins from Recency, Frequency, Monetary after log1p + z-score.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Champions: 17% of customers, 64% of revenue. Lost/hibernating: 36% of customers, 6% of revenue.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Slipping mid-value (27% of customers, 23% of revenue) is the cheapest win-back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Cluster integers are an implementation detail. The names come from median days / invoices / pounds.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 Expert — CRM / data scientist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Literacy: high. Subject: RFM and spherical K-Means are familiar. Time: they will read the elbow.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Inertia path 10488 → 5499 → 4279 → 3424 (k=1..4). Silhouette peaks at k=2 (0.42) then k=4 (0.325) over k=3 (0.320). k=2 is a whale-vs-rest split; ops cannot fund a two-bin CRM.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Loadings: PC1 (−0.50 R, +0.63 F, +0.59 M), PC2 (+0.84 R). Do not interpret a 2-D scatter as the partition — the partition ran in 3-D.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n_init=10, random_state=42. Frequency is nunique(InvoiceNo). Refit if the extract is replaced by the full UCI file.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k=4 is compatible with the elbow; name bins from medians; persist scaler + centres + name map together.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 Technician — campaign / CRM ops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Literacy: mixed. Subject: they know the ESP and the suppression list, not silhouette. Time: a four-row treatment table.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4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6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 week</w:t>
            </w:r>
          </w:p>
        </w:tc>
        <w:tc>
          <w:tcPr>
            <w:tcW w:type="dxa" w:w="34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</w:t>
            </w:r>
          </w:p>
        </w:tc>
      </w:tr>
      <w:tr>
        <w:tc>
          <w:tcPr>
            <w:tcW w:type="dxa" w:w="2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Champions</w:t>
            </w:r>
          </w:p>
        </w:tc>
        <w:tc>
          <w:tcPr>
            <w:tcW w:type="dxa" w:w="36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Protect service; early access; no blanket 20% off</w:t>
            </w:r>
          </w:p>
        </w:tc>
        <w:tc>
          <w:tcPr>
            <w:tcW w:type="dxa" w:w="34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spray a win-back coupon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Recent occasional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Second-purchase nudge, small basket builders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treat as VIPs</w:t>
            </w:r>
          </w:p>
        </w:tc>
      </w:tr>
      <w:tr>
        <w:tc>
          <w:tcPr>
            <w:tcW w:type="dxa" w:w="28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Slipping mid-value</w:t>
            </w:r>
          </w:p>
        </w:tc>
        <w:tc>
          <w:tcPr>
            <w:tcW w:type="dxa" w:w="36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Win-back with a reason; check last category</w:t>
            </w:r>
          </w:p>
        </w:tc>
        <w:tc>
          <w:tcPr>
            <w:tcW w:type="dxa" w:w="34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wait another quarter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Lost / hibernating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Cheap test, or leave quiet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 not burn the brand on a deep cut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Champions are cluster 2 on seed 42 of this extract; join on CustomerID; suppress cluster 1 from the expensive win-back until a human reviews the offer.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 Executive — CMO / commercial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Literacy: low-to-medium on clustering. Subject: they know contribution margin, not inertia. Time span: one slide in a Monday pack.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Value is concentrated: roughly one in six buyers produces two-thirds of observed revenue.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second pool (slipping mid-value) still holds 23% of revenue and has shopped before — cheaper to recover than to acquire.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largest pool by headcount is cold and low-value. Paying full CRM rates there is a budget leak.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17% of customers produce 64% of observed revenue; fund a protect-the-whale track and a mid-value win-back before you buy more traffic.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 Nonspecialist — store lead / journalist / new joiner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Literacy: do not open with PCA. Subject: shopping is familiar; RFM is not. Time: a paragraph.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We sorted identifiable shoppers by three ordinary questions: how lately they bought, how often they bought, and how much they spent. That split them into four piles a person can brief on the shop floor — the regulars who keep the till busy, the recent small-basket visitors, the previously decent buyers who have gone quiet, and the long-silent one-ticket buyers. We did not use postcode, first name, or a credit score.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Sentence they should hear: we grouped shoppers by how lately, how often, and how much — not by who they are.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Situation (McMurrey)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Purpose: a teaching project that also produces a campaign-ready four-row card.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Readers mix experts and executives on the same repo — headings must signpost the pitch.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Constraints: extract, not the full UCI file; sterling; one year; no margin or return-rate field.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Tone: no loyalty-tier launch language, no “AI discovered our VIPs.”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CustSeg memo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CustSeg project memo  ·  four audiences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2026-09-08T03:54:35.167Z</dcterms:created>
  <dcterms:modified xsi:type="dcterms:W3CDTF">2026-09-08T03:54:35.167Z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