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Retail-Bank Customer Clustering with K-Means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Short name: KMBank. Codecademy k-means lab moved from 8×8 digits to a 2,000-row retail book (five planted personas).</w:t>
      </w:r>
    </w:p>
    <w:p>
      <w:pPr>
        <w:pStyle w:val="Heading1"/>
      </w:pPr>
      <w:r>
        <w:t xml:space="preserve">Problem Statement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Retail, Collections, and CRM still talk past each other with one average customer. The book is unlabeled for this exercise. We need compact groups, a prototype row in dollars and percents, and a way to drop a new applicant on the nearest prototype — without pretending the cluster is a PD or an approve/decline.</w:t>
      </w:r>
    </w:p>
    <w:p>
      <w:pPr>
        <w:pStyle w:val="Heading1"/>
      </w:pPr>
      <w:r>
        <w:t xml:space="preserve">Solution Strategy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2,000 customers × 10 mixed-unit columns. Hold segment out of .fit.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Z-score first (score 477–834 vs util 0–1). From-scratch assign → update, then KMBank.KMeans.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Domain k=5 (Prime, Saver, Revolver, Stressed, Affluent). Confirm with an elbow.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Back-transform centroids. Majority-map cluster → persona. Purity + ARI.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Infer four new applicants. Simulate k / n / noise / n_init. Unscaled ablation.</w:t>
      </w:r>
    </w:p>
    <w:p>
      <w:pPr>
        <w:pStyle w:val="Heading1"/>
      </w:pPr>
      <w:r>
        <w:t xml:space="preserve">Solution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600"/>
            <w:shd w:fill="1B3A4B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Card</w:t>
            </w:r>
          </w:p>
        </w:tc>
        <w:tc>
          <w:tcPr>
            <w:tcW w:type="dxa" w:w="2050"/>
            <w:shd w:fill="1B3A4B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</w:t>
            </w:r>
          </w:p>
        </w:tc>
        <w:tc>
          <w:tcPr>
            <w:tcW w:type="dxa" w:w="2050"/>
            <w:shd w:fill="1B3A4B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Inertia</w:t>
            </w:r>
          </w:p>
        </w:tc>
        <w:tc>
          <w:tcPr>
            <w:tcW w:type="dxa" w:w="2050"/>
            <w:shd w:fill="1B3A4B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Purity</w:t>
            </w:r>
          </w:p>
        </w:tc>
        <w:tc>
          <w:tcPr>
            <w:tcW w:type="dxa" w:w="2050"/>
            <w:shd w:fill="1B3A4B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ARI</w:t>
            </w:r>
          </w:p>
        </w:tc>
      </w:tr>
      <w:tr>
        <w:tc>
          <w:tcPr>
            <w:tcW w:type="dxa" w:w="2600"/>
            <w:shd w:fill="E8F1F5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Scaled 10-feature book</w:t>
            </w:r>
          </w:p>
        </w:tc>
        <w:tc>
          <w:tcPr>
            <w:tcW w:type="dxa" w:w="2050"/>
            <w:shd w:fill="E8F1F5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050"/>
            <w:shd w:fill="E8F1F5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4,670</w:t>
            </w:r>
          </w:p>
        </w:tc>
        <w:tc>
          <w:tcPr>
            <w:tcW w:type="dxa" w:w="2050"/>
            <w:shd w:fill="E8F1F5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0.978</w:t>
            </w:r>
          </w:p>
        </w:tc>
        <w:tc>
          <w:tcPr>
            <w:tcW w:type="dxa" w:w="2050"/>
            <w:shd w:fill="E8F1F5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0.945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Unscaled (score owns distance)</w:t>
            </w:r>
          </w:p>
        </w:tc>
        <w:tc>
          <w:tcPr>
            <w:tcW w:type="dxa" w:w="2050"/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050"/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050"/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0.786</w:t>
            </w:r>
          </w:p>
        </w:tc>
        <w:tc>
          <w:tcPr>
            <w:tcW w:type="dxa" w:w="2050"/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shd w:fill="E8F1F5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Risk columns only</w:t>
            </w:r>
          </w:p>
        </w:tc>
        <w:tc>
          <w:tcPr>
            <w:tcW w:type="dxa" w:w="2050"/>
            <w:shd w:fill="E8F1F5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050"/>
            <w:shd w:fill="E8F1F5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050"/>
            <w:shd w:fill="E8F1F5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0.702</w:t>
            </w:r>
          </w:p>
        </w:tc>
        <w:tc>
          <w:tcPr>
            <w:tcW w:type="dxa" w:w="2050"/>
            <w:shd w:fill="E8F1F5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k=3 on full book</w:t>
            </w:r>
          </w:p>
        </w:tc>
        <w:tc>
          <w:tcPr>
            <w:tcW w:type="dxa" w:w="2050"/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050"/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7,246</w:t>
            </w:r>
          </w:p>
        </w:tc>
        <w:tc>
          <w:tcPr>
            <w:tcW w:type="dxa" w:w="2050"/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0.600</w:t>
            </w:r>
          </w:p>
        </w:tc>
        <w:tc>
          <w:tcPr>
            <w:tcW w:type="dxa" w:w="2050"/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0.607</w:t>
            </w:r>
          </w:p>
        </w:tc>
      </w:tr>
      <w:tr>
        <w:tc>
          <w:tcPr>
            <w:tcW w:type="dxa" w:w="2600"/>
            <w:shd w:fill="E8F1F5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Noise σ=0.8 on scaled X</w:t>
            </w:r>
          </w:p>
        </w:tc>
        <w:tc>
          <w:tcPr>
            <w:tcW w:type="dxa" w:w="2050"/>
            <w:shd w:fill="E8F1F5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050"/>
            <w:shd w:fill="E8F1F5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16,810</w:t>
            </w:r>
          </w:p>
        </w:tc>
        <w:tc>
          <w:tcPr>
            <w:tcW w:type="dxa" w:w="2050"/>
            <w:shd w:fill="E8F1F5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0.863</w:t>
            </w:r>
          </w:p>
        </w:tc>
        <w:tc>
          <w:tcPr>
            <w:tcW w:type="dxa" w:w="2050"/>
            <w:shd w:fill="E8F1F5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0.698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n_init=1 (one random start)</w:t>
            </w:r>
          </w:p>
        </w:tc>
        <w:tc>
          <w:tcPr>
            <w:tcW w:type="dxa" w:w="2050"/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050"/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5,305</w:t>
            </w:r>
          </w:p>
        </w:tc>
        <w:tc>
          <w:tcPr>
            <w:tcW w:type="dxa" w:w="2050"/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0.790</w:t>
            </w:r>
          </w:p>
        </w:tc>
        <w:tc>
          <w:tcPr>
            <w:tcW w:type="dxa" w:w="2050"/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0.695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Four walk-in rows mapped Prime / Stressed / Affluent / Revolver. Cluster ids are not those names until the majority vote (or a glossary) is applied.</w:t>
      </w:r>
    </w:p>
    <w:p>
      <w:pPr>
        <w:spacing w:after="40" w:before="40"/>
        <w:jc w:val="center"/>
      </w:pPr>
      <w:r>
        <w:drawing>
          <wp:inline distT="0" distB="0" distL="0" distR="0">
            <wp:extent cx="4762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44444"/>
          <w:sz w:val="16"/>
          <w:szCs w:val="16"/>
        </w:rPr>
        <w:t xml:space="preserve">Figure. Five prototypes in original units — the slide a branch manager can read.</w:t>
      </w:r>
    </w:p>
    <w:p>
      <w:pPr>
        <w:pStyle w:val="Heading1"/>
      </w:pPr>
      <w:r>
        <w:t xml:space="preserve">Key Takeaways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Scale before you cluster. Skip it and credit score swallows DTI and utilization (purity 0.978 → 0.786).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Inertia keeps falling after k=5; five is the retail glossary plus a compatible bend.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 centroid is a customer. Show it in dollars, not in z-units.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n_init=1 is a real risk (purity 0.79). Restart and keep the lowest J.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Same pipeline for branch mix or card-util bins. Not a scorecard, not a SAR, not pricing.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Not a credit decision  ·  cluster id ≠ persona until you map it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color w:val="0F6C8C"/>
        <w:sz w:val="14"/>
        <w:szCs w:val="14"/>
      </w:rPr>
      <w:t xml:space="preserve">KMBank  ·  1-page summary  ·  retail k-means personas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40"/>
      <w:outlineLvl w:val="0"/>
    </w:pPr>
    <w:rPr>
      <w:rFonts w:ascii="Arial" w:cs="Arial" w:eastAsia="Arial" w:hAnsi="Arial"/>
      <w:b/>
      <w:bCs/>
      <w:color w:val="1B3A4B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Arial" w:cs="Arial" w:eastAsia="Arial" w:hAnsi="Arial"/>
      <w:b/>
      <w:bCs/>
      <w:color w:val="0F6C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7581e6f528bfba32684f76b2b0f8f0f1ccca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2026-09-03T04:15:16.203Z</dcterms:created>
  <dcterms:modified xsi:type="dcterms:W3CDTF">2026-09-03T04:15:16.203Z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