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B3A4B"/>
          <w:sz w:val="32"/>
          <w:szCs w:val="32"/>
        </w:rPr>
        <w:t xml:space="preserve">Project memo: who this k-means book is for</w:t>
      </w:r>
    </w:p>
    <w:p>
      <w:pPr>
        <w:spacing w:after="80" w:before="0"/>
      </w:pPr>
      <w:r>
        <w:rPr>
          <w:rFonts w:ascii="Arial" w:cs="Arial" w:eastAsia="Arial" w:hAnsi="Arial"/>
          <w:sz w:val="18"/>
          <w:szCs w:val="18"/>
        </w:rPr>
        <w:t xml:space="preserve">Audience adaptation for KMBank retail personas  ·  short name KMBank</w:t>
      </w:r>
    </w:p>
    <w:p>
      <w:pPr>
        <w:spacing w:after="80" w:before="0"/>
      </w:pPr>
      <w:r>
        <w:rPr>
          <w:rFonts w:ascii="Arial" w:cs="Arial" w:eastAsia="Arial" w:hAnsi="Arial"/>
          <w:i/>
          <w:iCs/>
          <w:sz w:val="18"/>
          <w:szCs w:val="18"/>
        </w:rPr>
        <w:t xml:space="preserve">Sources in spirit: Jočys “What to Consider When Considering the Audience”; McMurrey expert / technician / executive / nonspecialist.</w:t>
      </w:r>
    </w:p>
    <w:p>
      <w:pPr>
        <w:pStyle w:val="Heading1"/>
      </w:pPr>
      <w:r>
        <w:t xml:space="preserve">1. Data literacy</w:t>
      </w:r>
    </w:p>
    <w:p>
      <w:pPr>
        <w:spacing w:after="80" w:before="0"/>
      </w:pPr>
      <w:r>
        <w:rPr>
          <w:rFonts w:ascii="Arial" w:cs="Arial" w:eastAsia="Arial" w:hAnsi="Arial"/>
          <w:sz w:val="20"/>
          <w:szCs w:val="20"/>
        </w:rPr>
        <w:t xml:space="preserve">Risk analysts can take a z-score, an elbow, and ARI 0.945. Branch managers and board readers cannot. For them the chart is the six-bar prototype strip and one sentence: “five piles; a new customer sits on the nearest pile.”</w:t>
      </w:r>
    </w:p>
    <w:p>
      <w:pPr>
        <w:pStyle w:val="Heading1"/>
      </w:pPr>
      <w:r>
        <w:t xml:space="preserve">2. Subject knowledge</w:t>
      </w:r>
    </w:p>
    <w:p>
      <w:pPr>
        <w:spacing w:after="80" w:before="0"/>
      </w:pPr>
      <w:r>
        <w:rPr>
          <w:rFonts w:ascii="Arial" w:cs="Arial" w:eastAsia="Arial" w:hAnsi="Arial"/>
          <w:sz w:val="20"/>
          <w:szCs w:val="20"/>
        </w:rPr>
        <w:t xml:space="preserve">Credit officers already know DTI, utilization, and 30-DPD. Do not define those. Do define that cluster 2 is an arbitrary bin until the glossary names it Stressed Book. Waterfall P&amp;L charts are the wrong convention; centroid profiles in original units are the native display.</w:t>
      </w:r>
    </w:p>
    <w:p>
      <w:pPr>
        <w:pStyle w:val="Heading1"/>
      </w:pPr>
      <w:r>
        <w:t xml:space="preserve">3. Four versions of the same finding</w:t>
      </w:r>
    </w:p>
    <w:p>
      <w:pPr>
        <w:pStyle w:val="Heading2"/>
      </w:pPr>
      <w:r>
        <w:t xml:space="preserve">Quant / Credit Risk analyst</w:t>
      </w:r>
    </w:p>
    <w:p>
      <w:pPr>
        <w:spacing w:after="80" w:before="0"/>
      </w:pPr>
      <w:r>
        <w:rPr>
          <w:rFonts w:ascii="Arial" w:cs="Arial" w:eastAsia="Arial" w:hAnsi="Arial"/>
          <w:sz w:val="20"/>
          <w:szCs w:val="20"/>
        </w:rPr>
        <w:t xml:space="preserve">Lloyd k-means, k=5, n_init=10, random_state=0, Euclidean on 10 z-scored columns. Inertia 4,670. Majority-vote purity 0.978, ARI 0.945. Unscaled ablation drops purity to 0.786 because score lives in the 700s. Risk-only subset (score, DTI, util, lates) purity 0.702 — deposits and product count carry the Affluent vs Saver split. n_init=1 purity 0.790.</w:t>
      </w:r>
    </w:p>
    <w:p>
      <w:pPr>
        <w:pStyle w:val="Heading2"/>
      </w:pPr>
      <w:r>
        <w:t xml:space="preserve">CRM / campaign technician</w:t>
      </w:r>
    </w:p>
    <w:p>
      <w:pPr>
        <w:spacing w:after="80" w:before="0"/>
      </w:pPr>
      <w:r>
        <w:rPr>
          <w:rFonts w:ascii="Arial" w:cs="Arial" w:eastAsia="Arial" w:hAnsi="Arial"/>
          <w:sz w:val="20"/>
          <w:szCs w:val="20"/>
        </w:rPr>
        <w:t xml:space="preserve">Five prototype customers. Applicant A (790 / util 0.10) lands Prime; B (580 / five lates) Stressed; C (170k income / 250k loans) Affluent; D (util 0.55) Revolver. Offer grids and collections intensity attach to the name, not to cluster_0.</w:t>
      </w:r>
    </w:p>
    <w:p>
      <w:pPr>
        <w:pStyle w:val="Heading2"/>
      </w:pPr>
      <w:r>
        <w:t xml:space="preserve">Retail / CRO executive</w:t>
      </w:r>
    </w:p>
    <w:p>
      <w:pPr>
        <w:spacing w:after="80" w:before="0"/>
      </w:pPr>
      <w:r>
        <w:rPr>
          <w:rFonts w:ascii="Arial" w:cs="Arial" w:eastAsia="Arial" w:hAnsi="Arial"/>
          <w:sz w:val="20"/>
          <w:szCs w:val="20"/>
        </w:rPr>
        <w:t xml:space="preserve">A cheap first pass so limit increases, savings campaigns, and early-stage collections are not one-size-fits-all. This notebook is a teaching book with planted personas, not a model risk submission. Expect the groups to move when the mix shifts toward revolvers.</w:t>
      </w:r>
    </w:p>
    <w:p>
      <w:pPr>
        <w:pStyle w:val="Heading2"/>
      </w:pPr>
      <w:r>
        <w:t xml:space="preserve">Nonspecialist</w:t>
      </w:r>
    </w:p>
    <w:p>
      <w:pPr>
        <w:spacing w:after="80" w:before="0"/>
      </w:pPr>
      <w:r>
        <w:rPr>
          <w:rFonts w:ascii="Arial" w:cs="Arial" w:eastAsia="Arial" w:hAnsi="Arial"/>
          <w:sz w:val="20"/>
          <w:szCs w:val="20"/>
        </w:rPr>
        <w:t xml:space="preserve">The bank piles customers who look alike on card use, deposits, and late payments, then names each pile. It matched the planned names on about 98 of 100 practice rows. That is grouping, not a yes/no on a loan.</w:t>
      </w:r>
    </w:p>
    <w:p>
      <w:pPr>
        <w:pStyle w:val="Heading1"/>
      </w:pPr>
      <w:r>
        <w:t xml:space="preserve">4. Mixed audience in one notebook</w:t>
      </w:r>
    </w:p>
    <w:p>
      <w:pPr>
        <w:spacing w:after="80" w:before="0"/>
      </w:pPr>
      <w:r>
        <w:rPr>
          <w:rFonts w:ascii="Arial" w:cs="Arial" w:eastAsia="Arial" w:hAnsi="Arial"/>
          <w:sz w:val="20"/>
          <w:szCs w:val="20"/>
        </w:rPr>
        <w:t xml:space="preserve">Formulas stay in the skeleton (technical supervisor). Headlines live in the 1-page report and this memo. The prototype bar chart is the artifact every audience can share.</w:t>
      </w:r>
    </w:p>
    <w:p>
      <w:pPr>
        <w:pStyle w:val="Heading1"/>
      </w:pPr>
      <w:r>
        <w:t xml:space="preserve">5. What not to say</w:t>
      </w:r>
    </w:p>
    <w:p>
      <w:pPr>
        <w:pStyle w:val="ListParagraph"/>
        <w:numPr>
          <w:ilvl w:val="0"/>
          <w:numId w:val="2"/>
        </w:numPr>
        <w:spacing w:after="40"/>
      </w:pPr>
      <w:r>
        <w:rPr>
          <w:rFonts w:ascii="Arial" w:cs="Arial" w:eastAsia="Arial" w:hAnsi="Arial"/>
          <w:sz w:val="20"/>
          <w:szCs w:val="20"/>
        </w:rPr>
        <w:t xml:space="preserve">Do not say “the model declined the applicant” or “97% accurate like a PD.”</w:t>
      </w:r>
    </w:p>
    <w:p>
      <w:pPr>
        <w:pStyle w:val="ListParagraph"/>
        <w:numPr>
          <w:ilvl w:val="0"/>
          <w:numId w:val="2"/>
        </w:numPr>
        <w:spacing w:after="40"/>
      </w:pPr>
      <w:r>
        <w:rPr>
          <w:rFonts w:ascii="Arial" w:cs="Arial" w:eastAsia="Arial" w:hAnsi="Arial"/>
          <w:sz w:val="20"/>
          <w:szCs w:val="20"/>
        </w:rPr>
        <w:t xml:space="preserve">Do not quote scaled inertia next to a raw-dollar inertia.</w:t>
      </w:r>
    </w:p>
    <w:p>
      <w:pPr>
        <w:pStyle w:val="ListParagraph"/>
        <w:numPr>
          <w:ilvl w:val="0"/>
          <w:numId w:val="2"/>
        </w:numPr>
        <w:spacing w:after="40"/>
      </w:pPr>
      <w:r>
        <w:rPr>
          <w:rFonts w:ascii="Arial" w:cs="Arial" w:eastAsia="Arial" w:hAnsi="Arial"/>
          <w:sz w:val="20"/>
          <w:szCs w:val="20"/>
        </w:rPr>
        <w:t xml:space="preserve">Do not treat k=5 as proven by the elbow alone.</w:t>
      </w:r>
    </w:p>
    <w:p>
      <w:pPr>
        <w:pStyle w:val="ListParagraph"/>
        <w:numPr>
          <w:ilvl w:val="0"/>
          <w:numId w:val="2"/>
        </w:numPr>
        <w:spacing w:after="40"/>
      </w:pPr>
      <w:r>
        <w:rPr>
          <w:rFonts w:ascii="Arial" w:cs="Arial" w:eastAsia="Arial" w:hAnsi="Arial"/>
          <w:sz w:val="20"/>
          <w:szCs w:val="20"/>
        </w:rPr>
        <w:t xml:space="preserve">Do not ship one random seed’s cluster-id map as a standard.</w:t>
      </w:r>
    </w:p>
    <w:p>
      <w:pPr>
        <w:pStyle w:val="ListParagraph"/>
        <w:numPr>
          <w:ilvl w:val="0"/>
          <w:numId w:val="2"/>
        </w:numPr>
        <w:spacing w:after="40"/>
      </w:pPr>
      <w:r>
        <w:rPr>
          <w:rFonts w:ascii="Arial" w:cs="Arial" w:eastAsia="Arial" w:hAnsi="Arial"/>
          <w:sz w:val="20"/>
          <w:szCs w:val="20"/>
        </w:rPr>
        <w:t xml:space="preserve">Do not use a cluster as an adverse-action reason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40"/>
      <w:outlineLvl w:val="0"/>
    </w:pPr>
    <w:rPr>
      <w:rFonts w:ascii="Arial" w:cs="Arial" w:eastAsia="Arial" w:hAnsi="Arial"/>
      <w:b/>
      <w:bCs/>
      <w:color w:val="1B3A4B"/>
      <w:sz w:val="24"/>
      <w:szCs w:val="24"/>
    </w:rPr>
  </w:style>
  <w:style w:type="paragraph" w:styleId="Heading2">
    <w:name w:val="Heading 2"/>
    <w:basedOn w:val="Normal"/>
    <w:next w:val="Normal"/>
    <w:qFormat/>
    <w:pPr>
      <w:spacing w:after="60" w:before="120"/>
      <w:outlineLvl w:val="1"/>
    </w:pPr>
    <w:rPr>
      <w:rFonts w:ascii="Arial" w:cs="Arial" w:eastAsia="Arial" w:hAnsi="Arial"/>
      <w:b/>
      <w:bCs/>
      <w:color w:val="0F6C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2026-09-03T04:15:16.735Z</dcterms:created>
  <dcterms:modified xsi:type="dcterms:W3CDTF">2026-09-03T04:15:16.735Z</dcterms:modified>
</cp:coreProperties>
</file>

<file path=docProps/custom.xml><?xml version="1.0" encoding="utf-8"?>
<Properties xmlns="http://schemas.openxmlformats.org/officeDocument/2006/custom-properties" xmlns:vt="http://schemas.openxmlformats.org/officeDocument/2006/docPropsVTypes"/>
</file>