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Project memo: who this k-means result is for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Audience adaptation for the KMDigits handwriting cluster  ·  short name KMDigits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Sources in spirit: Jočys “What to Consider When Considering the Audience”; McMurrey audience types (expert / technician / executive / nonspecialist).</w:t>
      </w:r>
    </w:p>
    <w:p>
      <w:pPr>
        <w:pStyle w:val="Heading1"/>
      </w:pPr>
      <w:r>
        <w:t xml:space="preserve">1. Data literacy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Analysts can take an elbow plot, ARI, and “n_init=10.” Executives and letter-writers cannot. For them the chart is the strip of ten average digits and one sentence: “about 79 in 100 glyphs landed in a bin whose most common true digit matched.”</w:t>
      </w:r>
    </w:p>
    <w:p>
      <w:pPr>
        <w:pStyle w:val="Heading1"/>
      </w:pPr>
      <w:r>
        <w:t xml:space="preserve">2. Subject knowledge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Postal engineers already know ZIP blocks, RIP, and why a 1 looks like a 7. Do not define those. Do define that a cluster id is an arbitrary bin number until a majority vote names it. Finance-style waterfalls are the wrong convention here; centroid images are the native display.</w:t>
      </w:r>
    </w:p>
    <w:p>
      <w:pPr>
        <w:pStyle w:val="Heading1"/>
      </w:pPr>
      <w:r>
        <w:t xml:space="preserve">3. Four versions of the same finding</w:t>
      </w:r>
    </w:p>
    <w:p>
      <w:pPr>
        <w:pStyle w:val="Heading2"/>
      </w:pPr>
      <w:r>
        <w:t xml:space="preserve">Quant / research analyst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Lloyd k-means, k=10, n_init=10, random_state=0, Euclidean on raw 0–16 pixels (no scaler). Inertia 1.165e6. Majority-vote purity 0.792, ARI 0.666. Petal-only Iris control: purity 0.960. Two-pixel ablation: purity 0.35 (near a confused 10-way chance). MiniBatchKMeans purity 0.787.</w:t>
      </w:r>
    </w:p>
    <w:p>
      <w:pPr>
        <w:pStyle w:val="Heading2"/>
      </w:pPr>
      <w:r>
        <w:t xml:space="preserve">OCR / mail-sort technician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Ten prototype tiles are the sort bins. A new 8×8 block goes to the nearest tile. Ones split across two bins; eights leak into the nine-bin. Re-draw sloppy strokes — the 1990s 30-writer cloud does not include your marker pen.</w:t>
      </w:r>
    </w:p>
    <w:p>
      <w:pPr>
        <w:pStyle w:val="Heading2"/>
      </w:pPr>
      <w:r>
        <w:t xml:space="preserve">Operations / product executive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 cheap first pass that groups similar handwriting so a keyer only handles the leftovers. Historical USPS research used the same idea to cut manual ZIP entry. This notebook is a teaching card on 8×8 UCI digits, not a bid for a sorter contract. Expect collisions on look-alike digits.</w:t>
      </w:r>
    </w:p>
    <w:p>
      <w:pPr>
        <w:pStyle w:val="Heading2"/>
      </w:pPr>
      <w:r>
        <w:t xml:space="preserve">Nonspecialist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 computer piles pictures that look alike, then names each pile after the number that shows up most often. It got the pile-name right for about four out of five practice pictures. It is grouping, not “reading.”</w:t>
      </w:r>
    </w:p>
    <w:p>
      <w:pPr>
        <w:pStyle w:val="Heading1"/>
      </w:pPr>
      <w:r>
        <w:t xml:space="preserve">4. Mixed audience in one notebook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 skeleton keeps formulas and code in the body (technical supervisor). The 1-page report and this memo carry the headlines (client / executive). The ten centroid tiles are the chart every audience can share.</w:t>
      </w:r>
    </w:p>
    <w:p>
      <w:pPr>
        <w:pStyle w:val="Heading1"/>
      </w:pPr>
      <w:r>
        <w:t xml:space="preserve">5. What not to say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say “the model reads handwriting” or “79% accurate like a classifier.”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quote inertia without units or compare it across scaled vs raw pixels.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hide that k=10 is a domain choice; the elbow keeps falling.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ship a mapping from one random seed as if it were a standard.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treat test.html arrays as the same 0–16 scale as UCI digits.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40"/>
      <w:outlineLvl w:val="0"/>
    </w:pPr>
    <w:rPr>
      <w:rFonts w:ascii="Arial" w:cs="Arial" w:eastAsia="Arial" w:hAnsi="Arial"/>
      <w:b/>
      <w:bCs/>
      <w:color w:val="1B3A4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0F6C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2026-09-03T03:54:32.832Z</dcterms:created>
  <dcterms:modified xsi:type="dcterms:W3CDTF">2026-09-03T03:54:32.832Z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