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KMDigits strategy guide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When to reuse this k-means teaching card, and when to walk away.</w:t>
      </w:r>
    </w:p>
    <w:p>
      <w:pPr>
        <w:pStyle w:val="Heading1"/>
      </w:pPr>
      <w: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 have unlabeled numeric rows and a plausible k from the story (10 digits, 3 species, 5 customer tiers).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centroid that you can draw (image, 2-D spend/recency, RGB) will help the reader trust the bins.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 need a fast baseline before a GMM, hierarchical tree, or a supervised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goal is grouping + prototypes, not a probability or a legal decision.</w:t>
      </w:r>
    </w:p>
    <w:p>
      <w:pPr>
        <w:pStyle w:val="Heading1"/>
      </w:pPr>
      <w: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Labels already exist and the job is prediction — start with a classifier.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Clusters are rings, chains, or very different sizes (DBSCAN / HDBSCAN / GMM).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Features mix dollars, counts, and binaries without a scaler.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missed 1-vs-7 has a statutory cost.</w:t>
      </w:r>
    </w:p>
    <w:p>
      <w:pPr>
        <w:pStyle w:val="Heading1"/>
      </w:pPr>
      <w:r>
        <w:t xml:space="preserve">Recommended build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Picture raw samples. If you cannot see structure in a 2-D slice or a montage, say 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From-scratch loop on a tiny matrix (Iris) so assign/update is not a black 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sklearn on the real matrix. Freeze random_state before you screenshot centroids.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Majority map + crosstab. Write the collisions in words (1 vs 8, 4 vs 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Elbow as a supporting chart, never as the only justification for 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One inference demo (test.html or a held-out row). Then a four-knob simulation.</w:t>
      </w:r>
    </w:p>
    <w:p>
      <w:pPr>
        <w:pStyle w:val="Heading1"/>
      </w:pPr>
      <w:r>
        <w:t xml:space="preserve">Adaptation recipe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Swap load_digits for any (n, d) float matrix. Keep KMDigits.py for environments without sklearn. Change the audience paragraph: mail-sort → store segments → color palettes. Keep the warning that cluster id ≠ business name until you map it.</w:t>
      </w:r>
    </w:p>
    <w:p>
      <w:pPr>
        <w:pStyle w:val="Heading1"/>
      </w:pPr>
      <w:r>
        <w:t xml:space="preserve">Good-fit vs limitations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Good fit: compact 8×8 glyphs, Iris petals, RFM tiers with similar volume. Weak fit: MNIST 28×28 without reduction, overlapping text topics, time-series regimes. k-means will always return k groups even when the data is one blob — inertia will not save you.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2026-09-03T03:54:33.076Z</dcterms:created>
  <dcterms:modified xsi:type="dcterms:W3CDTF">2026-09-03T03:54:33.076Z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