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PCATel project memo</w:t>
      </w:r>
    </w:p>
    <w:p>
      <w:pPr>
        <w:spacing w:after="80" w:before="0" w:line="240"/>
      </w:pPr>
      <w:r>
        <w:rPr>
          <w:rFonts w:ascii="Arial" w:cs="Arial" w:eastAsia="Arial" w:hAnsi="Arial"/>
          <w:i/>
          <w:iCs/>
          <w:color w:val="1C2833"/>
          <w:sz w:val="18"/>
          <w:szCs w:val="18"/>
        </w:rPr>
        <w:t xml:space="preserve">To: analysis leads / reconstruction / time-allocation committee</w:t>
      </w:r>
    </w:p>
    <w:p>
      <w:pPr>
        <w:spacing w:after="80" w:before="0" w:line="240"/>
      </w:pPr>
      <w:r>
        <w:rPr>
          <w:rFonts w:ascii="Arial" w:cs="Arial" w:eastAsia="Arial" w:hAnsi="Arial"/>
          <w:i/>
          <w:iCs/>
          <w:color w:val="1C2833"/>
          <w:sz w:val="18"/>
          <w:szCs w:val="18"/>
        </w:rPr>
        <w:t xml:space="preserve">Re: compressing MAGIC Hillas parameters before a linear gamma/hadron screen</w:t>
      </w:r>
    </w:p>
    <w:p>
      <w:pPr>
        <w:spacing w:after="80" w:before="0" w:line="2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The 10 Hillas numbers on a MAGIC-like CORSIKA card are not 10 independent facts. Concentration and its companion share r ≈ 0.98; the ellipse size block shares r ≈ 0.70–0.77. PCA on the standardized matrix packs 42% of that variance into PC1 (size vs concentration) and another 16% into PC2 (longitudinal asymmetry vs alpha). Seven components keep 96%.</w:t>
      </w:r>
    </w:p>
    <w:p>
      <w:pPr>
        <w:spacing w:after="80" w:before="0" w:line="2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A LinearSVC on the first two PCs scores 0.742 on a 33% hold-out (seed 42). The same classifier on standardized fLength and fWidth scores 0.719. Always guessing gamma scores 0.648. Using all ten features reaches 0.787. Two PCs are therefore a better pair than the two most obvious raw columns, and they are still only a pre-processor — the full linear screen wants more axes.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Four audiences (McMurrey types + Jočys checklist)</w:t>
      </w:r>
    </w:p>
    <w:p>
      <w:pPr>
        <w:spacing w:after="80" w:before="0" w:line="2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Experts already know the Hillas basis. Give them the loading table and the λ spectrum. Do not hide that the 2-D scatter still overlaps.</w:t>
      </w:r>
    </w:p>
    <w:p>
      <w:pPr>
        <w:spacing w:after="80" w:before="0" w:line="2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Technicians need the scale recipe, n_components, the random seed, and a reminder to persist the training μ, σ, and V so new showers land on the same axes.</w:t>
      </w:r>
    </w:p>
    <w:p>
      <w:pPr>
        <w:spacing w:after="80" w:before="0" w:line="2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Executives need the two-score comparison and the cost of a wrong screen: extra hadron contamination in the gamma sample, or extra signal thrown away. They do not need the eigenvector matrix.</w:t>
      </w:r>
    </w:p>
    <w:p>
      <w:pPr>
        <w:spacing w:after="80" w:before="0" w:line="2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Nonspecialists need the picture: the telescope fits an ellipse to each shower image; many of those ellipse numbers move together; we rotate them onto a few summary axes. Signal and background still mix. No discovery is being claimed.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What we will not write in a paper</w:t>
      </w:r>
    </w:p>
    <w:p>
      <w:pPr>
        <w:spacing w:after="80" w:before="0" w:line="2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PCA did not see the class label. High variance is not the same as gamma/hadron separation. This notebook is a teaching reconstruction of the Codecademy lab on public-style CORSIKA features, not a MAGIC collaboration result.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2026-09-03T04:39:08.068Z</dcterms:created>
  <dcterms:modified xsi:type="dcterms:W3CDTF">2026-09-03T04:39:08.068Z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