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PCATel strategy guide</w:t>
      </w:r>
    </w:p>
    <w:p>
      <w:pPr>
        <w:spacing w:after="80" w:before="0" w:line="240"/>
      </w:pPr>
      <w:r>
        <w:rPr>
          <w:rFonts w:ascii="Arial" w:cs="Arial" w:eastAsia="Arial" w:hAnsi="Arial"/>
          <w:i/>
          <w:iCs/>
          <w:color w:val="1C2833"/>
          <w:sz w:val="18"/>
          <w:szCs w:val="18"/>
        </w:rPr>
        <w:t xml:space="preserve">When to reuse this project shape, and when not to.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Use this pattern when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Columns are numeric and linearly correlated (sensor suites, image moments, macro panels, lab assays).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You need a variance budget (keep 95%) or a 2-D picture before a linear model.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Multicollinearity is hurting a linear classifier or a regression, and a rotation is acceptable.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Do not use this pattern when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The scientifically relevant direction is a low-variance residual (supervised targets ignored by PCA).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Features are categorical, heavily skewed without a transform, or live on a nonlinear manifold.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You need named original variables in the final model (loadings mix every column).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• Latency / regulatory rules forbid an extra fitted rotation in production.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Recommended / not recommended (this card)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Recommended: standardize; report majority baseline; pick k from the cumulative curve; probe with a linear model; rewrite for four audiences.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Not recommended: choosing k=2 only because seaborn wants two axes; running PCA on unscaled Hillas numbers; calling the 2-PC LinearSVC a MAGIC result.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How to clone the notebooks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Copy PCATel_Reusable_Template.ipynb. Change PATH, LABEL, VAR_BUDGET. Keep the simulation knobs (k, n, noise, scale). Rewrite the four audience sentences. Zip with the CSV and the flowchart.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Good-fit vs limitations on MAGIC</w:t>
      </w:r>
    </w:p>
    <w:p>
      <w:pPr>
        <w:spacing w:after="80" w:before="0" w:line="240"/>
      </w:pPr>
      <w:r>
        <w:rPr>
          <w:rFonts w:ascii="Arial" w:cs="Arial" w:eastAsia="Arial" w:hAnsi="Arial"/>
          <w:color w:val="1C2833"/>
          <w:sz w:val="20"/>
          <w:szCs w:val="20"/>
        </w:rPr>
        <w:t xml:space="preserve">Good fit: the correlation block is real; NumPy and sklearn ratios agree; 2 PCs beat length+width. Limitation: class overlap on PC1–PC2 is large; a production G/H discriminator uses the label and usually a nonlinear model on the full list.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2026-09-03T04:39:08.309Z</dcterms:created>
  <dcterms:modified xsi:type="dcterms:W3CDTF">2026-09-03T04:39:08.310Z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