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4E79"/>
          <w:sz w:val="32"/>
          <w:szCs w:val="32"/>
        </w:rPr>
        <w:t xml:space="preserve">Project memo — four audiences</w:t>
      </w:r>
    </w:p>
    <w:p>
      <w:pPr>
        <w:spacing w:after="80" w:line="240"/>
      </w:pPr>
      <w:r>
        <w:rPr>
          <w:rFonts w:ascii="Arial" w:cs="Arial" w:eastAsia="Arial" w:hAnsi="Arial"/>
          <w:b w:val="false"/>
          <w:bCs w:val="false"/>
          <w:i/>
          <w:iCs/>
          <w:color w:val="222222"/>
          <w:sz w:val="18"/>
          <w:szCs w:val="18"/>
        </w:rPr>
        <w:t xml:space="preserve">LoanOrig  ·  credit-risk experts / loan-ops technicians / executives / applicants. Stand-up after the first forest, not a credit-policy memo.</w:t>
      </w:r>
    </w:p>
    <w:p>
      <w:pPr>
        <w:pStyle w:val="Heading1"/>
        <w:spacing w:after="70" w:before="140"/>
      </w:pPr>
      <w:r>
        <w:rPr>
          <w:rFonts w:ascii="Arial" w:cs="Arial" w:eastAsia="Arial" w:hAnsi="Arial"/>
          <w:b/>
          <w:bCs/>
          <w:color w:val="1F4E79"/>
          <w:sz w:val="26"/>
          <w:szCs w:val="26"/>
        </w:rPr>
        <w:t xml:space="preserve">Experts  (credit risk / pricing analytics)</w:t>
      </w:r>
    </w:p>
    <w:p>
      <w:pPr>
        <w:spacing w:after="80" w:line="240"/>
      </w:pPr>
      <w:r>
        <w:rPr>
          <w:rFonts w:ascii="Arial" w:cs="Arial" w:eastAsia="Arial" w:hAnsi="Arial"/>
          <w:b w:val="false"/>
          <w:bCs w:val="false"/>
          <w:i w:val="false"/>
          <w:iCs w:val="false"/>
          <w:color w:val="222222"/>
          <w:sz w:val="20"/>
          <w:szCs w:val="20"/>
        </w:rPr>
        <w:t xml:space="preserve">The target is min(requested, a capacity function of income, DTI, term, collateral and a latent bureau score) plus branch noise. That is why requested_usd corr is 0.98 and LinearRegression already hits R² 0.97. The forest’s move from $8.3k to $5.2k MAE is the mortgage tail and a rate–size interaction, not a new underwriting theory. Train R² 0.997 vs test 0.982 is default bagging on 736 rows. Drop requested_usd when the question is capacity-only. Inquiry/trade counts are contemporaneous file texture. This is not an ECOA model, not a PD model, and not a pricing engine.</w:t>
      </w:r>
    </w:p>
    <w:p>
      <w:pPr>
        <w:pStyle w:val="Heading1"/>
        <w:spacing w:after="70" w:before="140"/>
      </w:pPr>
      <w:r>
        <w:rPr>
          <w:rFonts w:ascii="Arial" w:cs="Arial" w:eastAsia="Arial" w:hAnsi="Arial"/>
          <w:b/>
          <w:bCs/>
          <w:color w:val="1F4E79"/>
          <w:sz w:val="26"/>
          <w:szCs w:val="26"/>
        </w:rPr>
        <w:t xml:space="preserve">Technicians  (origination / credit-admin who will rerun this)</w:t>
      </w:r>
    </w:p>
    <w:p>
      <w:pPr>
        <w:spacing w:after="80" w:line="240"/>
      </w:pPr>
      <w:r>
        <w:rPr>
          <w:rFonts w:ascii="Arial" w:cs="Arial" w:eastAsia="Arial" w:hAnsi="Arial"/>
          <w:b w:val="false"/>
          <w:bCs w:val="false"/>
          <w:i w:val="false"/>
          <w:iCs w:val="false"/>
          <w:color w:val="222222"/>
          <w:sz w:val="20"/>
          <w:szCs w:val="20"/>
        </w:rPr>
        <w:t xml:space="preserve">Skeleton notebook is the runbook. Cast to string before every replace. Money columns lose $ and commas; note_rate loses % and is divided by 100. Missing vintage becomes 0 before you strip ' VY'. Cardinality cutoff is 5. Expected printout: MAE about $5,150, R² about 0.98 with the ask included. If MAE jumps above ~$12k after a refresh, look for a new token ('k', 'mo', 'N/A') before retuning trees.</w:t>
      </w:r>
    </w:p>
    <w:p>
      <w:pPr>
        <w:pStyle w:val="Heading1"/>
        <w:spacing w:after="70" w:before="140"/>
      </w:pPr>
      <w:r>
        <w:rPr>
          <w:rFonts w:ascii="Arial" w:cs="Arial" w:eastAsia="Arial" w:hAnsi="Arial"/>
          <w:b/>
          <w:bCs/>
          <w:color w:val="1F4E79"/>
          <w:sz w:val="26"/>
          <w:szCs w:val="26"/>
        </w:rPr>
        <w:t xml:space="preserve">Executives  (CRO / consumer-lending leadership)</w:t>
      </w:r>
    </w:p>
    <w:p>
      <w:pPr>
        <w:spacing w:after="80" w:line="240"/>
      </w:pPr>
      <w:r>
        <w:rPr>
          <w:rFonts w:ascii="Arial" w:cs="Arial" w:eastAsia="Arial" w:hAnsi="Arial"/>
          <w:b w:val="false"/>
          <w:bCs w:val="false"/>
          <w:i w:val="false"/>
          <w:iCs w:val="false"/>
          <w:color w:val="222222"/>
          <w:sz w:val="20"/>
          <w:szCs w:val="20"/>
        </w:rPr>
        <w:t xml:space="preserve">Question: can a draft application extract tell us whether the created offer is in the right neighborhood? Answer: yes as a pre-check against the book, no as a commitment. Guessing the average offer misses by about $55k. The spec model misses by about $5.2k — most of that skill is “honor the ask unless capacity binds.” Mortgages drive the tail. This does not approve anyone and does not set rate sheets.</w:t>
      </w:r>
    </w:p>
    <w:p>
      <w:pPr>
        <w:pStyle w:val="Heading1"/>
        <w:spacing w:after="70" w:before="140"/>
      </w:pPr>
      <w:r>
        <w:rPr>
          <w:rFonts w:ascii="Arial" w:cs="Arial" w:eastAsia="Arial" w:hAnsi="Arial"/>
          <w:b/>
          <w:bCs/>
          <w:color w:val="1F4E79"/>
          <w:sz w:val="26"/>
          <w:szCs w:val="26"/>
        </w:rPr>
        <w:t xml:space="preserve">Nonspecialists  (applicants / learners)</w:t>
      </w:r>
    </w:p>
    <w:p>
      <w:pPr>
        <w:spacing w:after="80" w:line="240"/>
      </w:pPr>
      <w:r>
        <w:rPr>
          <w:rFonts w:ascii="Arial" w:cs="Arial" w:eastAsia="Arial" w:hAnsi="Arial"/>
          <w:b w:val="false"/>
          <w:bCs w:val="false"/>
          <w:i w:val="false"/>
          <w:iCs w:val="false"/>
          <w:color w:val="222222"/>
          <w:sz w:val="20"/>
          <w:szCs w:val="20"/>
        </w:rPr>
        <w:t xml:space="preserve">The file describes each application with phrases like "$72,000" and "36-month." A model cannot add those phrases until someone peels off the symbols. After that, a crowd of small trees votes on how large a loan the teaching desk would offer. On applications it has not seen, that vote is usually within about five thousand dollars of the teaching offer if the requested amount is known — much better than guessing the average loan, still a wide band if you are the borrower. Larger requests and longer terms go with larger offers; higher note rates go with smaller ones. This is not a promise that a bank will offer you that number.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bullet"/>
      <w:lvlText w:val="•"/>
      <w:lvlJc w:val="left"/>
      <w:pPr>
        <w:ind w:left="360" w:hanging="180"/>
      </w:pPr>
    </w:lvl>
  </w:abstractNum>
  <w:abstractNum w:abstractNumId="5"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4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2026-09-03T03:10:56.444Z</dcterms:created>
  <dcterms:modified xsi:type="dcterms:W3CDTF">2026-09-03T03:10:56.444Z</dcterms:modified>
</cp:coreProperties>
</file>

<file path=docProps/custom.xml><?xml version="1.0" encoding="utf-8"?>
<Properties xmlns="http://schemas.openxmlformats.org/officeDocument/2006/custom-properties" xmlns:vt="http://schemas.openxmlformats.org/officeDocument/2006/docPropsVTypes"/>
</file>