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Strategy guide — when to reuse ExamPred</w:t>
      </w:r>
    </w:p>
    <w:p>
      <w:pPr>
        <w:spacing w:after="80" w:line="240"/>
      </w:pPr>
      <w:r>
        <w:rPr>
          <w:rFonts w:ascii="Arial" w:cs="Arial" w:eastAsia="Arial" w:hAnsi="Arial"/>
          <w:b w:val="false"/>
          <w:bCs w:val="false"/>
          <w:i/>
          <w:iCs/>
          <w:color w:val="222222"/>
          <w:sz w:val="18"/>
          <w:szCs w:val="18"/>
        </w:rPr>
        <w:t xml:space="preserve">Pair with ExamPred_Reusable_Template.ipynb. Sibling of LaptopPrice / TaxCreate / LoanOrig.</w:t>
      </w:r>
    </w:p>
    <w:p>
      <w:pPr>
        <w:pStyle w:val="Heading1"/>
        <w:spacing w:after="70" w:before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When this pattern is a good fit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The target is a continuous exam / assessment / course mark.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Predictors arrive as hours, percents, GPA strings, or count-words.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You need a roster pre-check, not a live grading API.</w:t>
      </w:r>
    </w:p>
    <w:p>
      <w:pPr>
        <w:pStyle w:val="Heading1"/>
        <w:spacing w:after="70" w:before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When it is the wrong tool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The decision is pass/fail only and you already have a cut score — use a classifier pack.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You must reproduce a published rubric to the point — write the rubric.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High-stakes admissions or scholarship awarding — this card is not validated for that.</w:t>
      </w:r>
    </w:p>
    <w:p>
      <w:pPr>
        <w:pStyle w:val="Heading1"/>
        <w:spacing w:after="70" w:before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Recommended sequence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Audit dtypes. Parse units. Engineer study_load. Decide whether any star/band column is a leak.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Split, encode, baseline → linear → forest. Quote MAE in score points.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Always publish the pre-exam card next to the reconstruction card.</w:t>
      </w:r>
    </w:p>
    <w:p>
      <w:pPr>
        <w:pStyle w:val="Heading1"/>
        <w:spacing w:after="70" w:before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Transfer checklist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Midterm→final, homework points→course mark, certification exams, workplace training batteries.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Keep four audiences: IR / registrar / dean / student. Never present as a posted grade.</w:t>
      </w:r>
    </w:p>
    <w:p>
      <w:pPr>
        <w:pStyle w:val="Heading1"/>
        <w:spacing w:after="70" w:before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Good-fit vs limitations</w:t>
      </w:r>
    </w:p>
    <w:p>
      <w:pPr>
        <w:spacing w:after="8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Good fit: 920 rows, eight subjects, visible hours/GPA/attendance levers, a leaky star band that teaches leakage. Limitation: synthetic rubric, one exam not a portfolio, assignment counts arrive mid-term. Treat 2.33 and 5.10 as teaching numbers, not KPIs for a registrar dashboard.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70" w:before="14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2026-09-03T03:33:17.938Z</dcterms:created>
  <dcterms:modified xsi:type="dcterms:W3CDTF">2026-09-03T03:33:17.938Z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