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Checklist: Completing a Univariate &amp; Bivariate Statistical Analysis Project Successfully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Based on Chapter 4 techniques: Pearson/Spearman correlation, t-tests, binomial tests, and chi-squared analyses in Python.</w:t>
      </w:r>
    </w:p>
    <w:p>
      <w:pPr>
        <w:pStyle w:val="Heading2"/>
      </w:pPr>
      <w:r>
        <w:t xml:space="preserve">1. Project Setup &amp; Data Preparation</w:t>
      </w:r>
    </w:p>
    <w:p>
      <w:pPr>
        <w:pStyle w:val="ListParagraph"/>
        <w:numPr>
          <w:ilvl w:val="0"/>
          <w:numId w:val="2"/>
        </w:numPr>
      </w:pPr>
      <w:r>
        <w:t xml:space="preserve">Define a clear research question that can be addressed with correlation, mean comparison, or categorical association.</w:t>
      </w:r>
    </w:p>
    <w:p>
      <w:pPr>
        <w:pStyle w:val="ListParagraph"/>
        <w:numPr>
          <w:ilvl w:val="0"/>
          <w:numId w:val="2"/>
        </w:numPr>
      </w:pPr>
      <w:r>
        <w:t xml:space="preserve">Identify continuous vs. categorical variables and confirm measurement scales.</w:t>
      </w:r>
    </w:p>
    <w:p>
      <w:pPr>
        <w:pStyle w:val="ListParagraph"/>
        <w:numPr>
          <w:ilvl w:val="0"/>
          <w:numId w:val="2"/>
        </w:numPr>
      </w:pPr>
      <w:r>
        <w:t xml:space="preserve">Load data into a pandas DataFrame; handle missing values explicitly (document decisions).</w:t>
      </w:r>
    </w:p>
    <w:p>
      <w:pPr>
        <w:pStyle w:val="ListParagraph"/>
        <w:numPr>
          <w:ilvl w:val="0"/>
          <w:numId w:val="2"/>
        </w:numPr>
      </w:pPr>
      <w:r>
        <w:t xml:space="preserve">Verify data types and perform basic cleaning (outliers flagged, not automatically removed without justification).</w:t>
      </w:r>
    </w:p>
    <w:p>
      <w:pPr>
        <w:pStyle w:val="ListParagraph"/>
        <w:numPr>
          <w:ilvl w:val="0"/>
          <w:numId w:val="2"/>
        </w:numPr>
      </w:pPr>
      <w:r>
        <w:t xml:space="preserve">Create a reproducible environment (seed random processes, pin package versions if needed).</w:t>
      </w:r>
    </w:p>
    <w:p>
      <w:pPr>
        <w:pStyle w:val="Heading2"/>
      </w:pPr>
      <w:r>
        <w:t xml:space="preserve">2. Exploratory Data Analysis (Always Plot First)</w:t>
      </w:r>
    </w:p>
    <w:p>
      <w:pPr>
        <w:pStyle w:val="ListParagraph"/>
        <w:numPr>
          <w:ilvl w:val="0"/>
          <w:numId w:val="2"/>
        </w:numPr>
      </w:pPr>
      <w:r>
        <w:t xml:space="preserve">Generate univariate distributions (histograms / density plots / boxplots) for every continuous variable.</w:t>
      </w:r>
    </w:p>
    <w:p>
      <w:pPr>
        <w:pStyle w:val="ListParagraph"/>
        <w:numPr>
          <w:ilvl w:val="0"/>
          <w:numId w:val="2"/>
        </w:numPr>
      </w:pPr>
      <w:r>
        <w:t xml:space="preserve">Create scatterplots (or pairplots) for every pair of continuous variables of interest.</w:t>
      </w:r>
    </w:p>
    <w:p>
      <w:pPr>
        <w:pStyle w:val="ListParagraph"/>
        <w:numPr>
          <w:ilvl w:val="0"/>
          <w:numId w:val="2"/>
        </w:numPr>
      </w:pPr>
      <w:r>
        <w:t xml:space="preserve">Visually inspect for linearity, monotonicity, outliers, clusters, and non-linear patterns.</w:t>
      </w:r>
    </w:p>
    <w:p>
      <w:pPr>
        <w:pStyle w:val="ListParagraph"/>
        <w:numPr>
          <w:ilvl w:val="0"/>
          <w:numId w:val="2"/>
        </w:numPr>
      </w:pPr>
      <w:r>
        <w:t xml:space="preserve">Never interpret a correlation coefficient without the accompanying scatterplot.</w:t>
      </w:r>
    </w:p>
    <w:p>
      <w:pPr>
        <w:pStyle w:val="ListParagraph"/>
        <w:numPr>
          <w:ilvl w:val="0"/>
          <w:numId w:val="2"/>
        </w:numPr>
      </w:pPr>
      <w:r>
        <w:t xml:space="preserve">Document any visible departures from assumptions (normality, equal variance, independence).</w:t>
      </w:r>
    </w:p>
    <w:p>
      <w:pPr>
        <w:pStyle w:val="Heading2"/>
      </w:pPr>
      <w:r>
        <w:t xml:space="preserve">3. Correlation Analysis</w:t>
      </w:r>
    </w:p>
    <w:p>
      <w:pPr>
        <w:pStyle w:val="Heading3"/>
      </w:pPr>
      <w:r>
        <w:t xml:space="preserve">Pearson Product-Moment</w:t>
      </w:r>
    </w:p>
    <w:p>
      <w:pPr>
        <w:pStyle w:val="ListParagraph"/>
        <w:numPr>
          <w:ilvl w:val="0"/>
          <w:numId w:val="2"/>
        </w:numPr>
      </w:pPr>
      <w:r>
        <w:t xml:space="preserve">Compute Pearson r only after confirming approximate linearity via plot.</w:t>
      </w:r>
    </w:p>
    <w:p>
      <w:pPr>
        <w:pStyle w:val="ListParagraph"/>
        <w:numPr>
          <w:ilvl w:val="0"/>
          <w:numId w:val="2"/>
        </w:numPr>
      </w:pPr>
      <w:r>
        <w:t xml:space="preserve">Report both the coefficient and its p-value; interpret magnitude and direction substantively.</w:t>
      </w:r>
    </w:p>
    <w:p>
      <w:pPr>
        <w:pStyle w:val="ListParagraph"/>
        <w:numPr>
          <w:ilvl w:val="0"/>
          <w:numId w:val="2"/>
        </w:numPr>
      </w:pPr>
      <w:r>
        <w:t xml:space="preserve">Calculate and report r² (proportion of variance explained); remember 1 − r² is the “coefficient of humility.”</w:t>
      </w:r>
    </w:p>
    <w:p>
      <w:pPr>
        <w:pStyle w:val="ListParagraph"/>
        <w:numPr>
          <w:ilvl w:val="0"/>
          <w:numId w:val="2"/>
        </w:numPr>
      </w:pPr>
      <w:r>
        <w:t xml:space="preserve">Avoid claiming causation; correlation ≠ causation (and even statistical significance may be trivial).</w:t>
      </w:r>
    </w:p>
    <w:p>
      <w:pPr>
        <w:pStyle w:val="Heading3"/>
      </w:pPr>
      <w:r>
        <w:t xml:space="preserve">Spearman’s Rho</w:t>
      </w:r>
    </w:p>
    <w:p>
      <w:pPr>
        <w:pStyle w:val="ListParagraph"/>
        <w:numPr>
          <w:ilvl w:val="0"/>
          <w:numId w:val="2"/>
        </w:numPr>
      </w:pPr>
      <w:r>
        <w:t xml:space="preserve">Use Spearman when the relationship is monotonic but clearly non-linear.</w:t>
      </w:r>
    </w:p>
    <w:p>
      <w:pPr>
        <w:pStyle w:val="ListParagraph"/>
        <w:numPr>
          <w:ilvl w:val="0"/>
          <w:numId w:val="2"/>
        </w:numPr>
      </w:pPr>
      <w:r>
        <w:t xml:space="preserve">Compare Pearson and Spearman results side-by-side and explain any divergence.</w:t>
      </w:r>
    </w:p>
    <w:p>
      <w:pPr>
        <w:pStyle w:val="ListParagraph"/>
        <w:numPr>
          <w:ilvl w:val="0"/>
          <w:numId w:val="2"/>
        </w:numPr>
      </w:pPr>
      <w:r>
        <w:t xml:space="preserve">Remember: a zero Pearson r does not imply “no relationship”—only no linear relationship.</w:t>
      </w:r>
    </w:p>
    <w:p>
      <w:pPr>
        <w:pStyle w:val="Heading2"/>
      </w:pPr>
      <w:r>
        <w:t xml:space="preserve">4. Mean Comparison (t-Tests)</w:t>
      </w:r>
    </w:p>
    <w:p>
      <w:pPr>
        <w:pStyle w:val="ListParagraph"/>
        <w:numPr>
          <w:ilvl w:val="0"/>
          <w:numId w:val="2"/>
        </w:numPr>
      </w:pPr>
      <w:r>
        <w:t xml:space="preserve">One-sample t-test: clearly state the hypothesized population mean under H₀.</w:t>
      </w:r>
    </w:p>
    <w:p>
      <w:pPr>
        <w:pStyle w:val="ListParagraph"/>
        <w:numPr>
          <w:ilvl w:val="0"/>
          <w:numId w:val="2"/>
        </w:numPr>
      </w:pPr>
      <w:r>
        <w:t xml:space="preserve">Independent-samples t-test: verify independence of groups; check approximate normality and homogeneity of variance (Levene as guide only).</w:t>
      </w:r>
    </w:p>
    <w:p>
      <w:pPr>
        <w:pStyle w:val="ListParagraph"/>
        <w:numPr>
          <w:ilvl w:val="0"/>
          <w:numId w:val="2"/>
        </w:numPr>
      </w:pPr>
      <w:r>
        <w:t xml:space="preserve">Paired-samples t-test: confirm natural pairing / repeated measures; do not treat paired data as independent.</w:t>
      </w:r>
    </w:p>
    <w:p>
      <w:pPr>
        <w:pStyle w:val="ListParagraph"/>
        <w:numPr>
          <w:ilvl w:val="0"/>
          <w:numId w:val="2"/>
        </w:numPr>
      </w:pPr>
      <w:r>
        <w:t xml:space="preserve">Report t-statistic, degrees of freedom, p-value, and effect size context (not just “significant”).</w:t>
      </w:r>
    </w:p>
    <w:p>
      <w:pPr>
        <w:pStyle w:val="ListParagraph"/>
        <w:numPr>
          <w:ilvl w:val="0"/>
          <w:numId w:val="2"/>
        </w:numPr>
      </w:pPr>
      <w:r>
        <w:t xml:space="preserve">Interpret failure to reject H₀ correctly: absence of evidence is not evidence of absence.</w:t>
      </w:r>
    </w:p>
    <w:p>
      <w:pPr>
        <w:pStyle w:val="Heading2"/>
      </w:pPr>
      <w:r>
        <w:t xml:space="preserve">5. Categorical / Count Data</w:t>
      </w:r>
    </w:p>
    <w:p>
      <w:pPr>
        <w:pStyle w:val="Heading3"/>
      </w:pPr>
      <w:r>
        <w:t xml:space="preserve">Binomial Test</w:t>
      </w:r>
    </w:p>
    <w:p>
      <w:pPr>
        <w:pStyle w:val="ListParagraph"/>
        <w:numPr>
          <w:ilvl w:val="0"/>
          <w:numId w:val="2"/>
        </w:numPr>
      </w:pPr>
      <w:r>
        <w:t xml:space="preserve">Confirm binary mutually exclusive outcomes, stationary probability, and trial independence.</w:t>
      </w:r>
    </w:p>
    <w:p>
      <w:pPr>
        <w:pStyle w:val="ListParagraph"/>
        <w:numPr>
          <w:ilvl w:val="0"/>
          <w:numId w:val="2"/>
        </w:numPr>
      </w:pPr>
      <w:r>
        <w:t xml:space="preserve">State the null probability (e.g., p = 0.5 for a fair coin) and the alternative (greater / less / two-sided).</w:t>
      </w:r>
    </w:p>
    <w:p>
      <w:pPr>
        <w:pStyle w:val="Heading3"/>
      </w:pPr>
      <w:r>
        <w:t xml:space="preserve">Chi-Squared Goodness-of-Fit &amp; Contingency Tables</w:t>
      </w:r>
    </w:p>
    <w:p>
      <w:pPr>
        <w:pStyle w:val="ListParagraph"/>
        <w:numPr>
          <w:ilvl w:val="0"/>
          <w:numId w:val="2"/>
        </w:numPr>
      </w:pPr>
      <w:r>
        <w:t xml:space="preserve">Compute expected frequencies from marginal totals; ensure no expected cell count is too small (rule of thumb ≥ 5).</w:t>
      </w:r>
    </w:p>
    <w:p>
      <w:pPr>
        <w:pStyle w:val="ListParagraph"/>
        <w:numPr>
          <w:ilvl w:val="0"/>
          <w:numId w:val="2"/>
        </w:numPr>
      </w:pPr>
      <w:r>
        <w:t xml:space="preserve">Interpret rejection of H₀ as evidence of association (or departure from hypothesized proportions), not as proof of a specific causal story.</w:t>
      </w:r>
    </w:p>
    <w:p>
      <w:pPr>
        <w:pStyle w:val="ListParagraph"/>
        <w:numPr>
          <w:ilvl w:val="0"/>
          <w:numId w:val="2"/>
        </w:numPr>
      </w:pPr>
      <w:r>
        <w:t xml:space="preserve">For contingency tables, examine residuals or percentages to understand the pattern of association.</w:t>
      </w:r>
    </w:p>
    <w:p>
      <w:pPr>
        <w:pStyle w:val="Heading2"/>
      </w:pPr>
      <w:r>
        <w:t xml:space="preserve">6. Critical Interpretation &amp; Reporting</w:t>
      </w:r>
    </w:p>
    <w:p>
      <w:pPr>
        <w:pStyle w:val="ListParagraph"/>
        <w:numPr>
          <w:ilvl w:val="0"/>
          <w:numId w:val="2"/>
        </w:numPr>
      </w:pPr>
      <w:r>
        <w:t xml:space="preserve">Ask: “Is the null hypothesis of zero correlation / zero difference actually interesting or realistic?”</w:t>
      </w:r>
    </w:p>
    <w:p>
      <w:pPr>
        <w:pStyle w:val="ListParagraph"/>
        <w:numPr>
          <w:ilvl w:val="0"/>
          <w:numId w:val="2"/>
        </w:numPr>
      </w:pPr>
      <w:r>
        <w:t xml:space="preserve">Distinguish statistical significance from practical / scientific importance.</w:t>
      </w:r>
    </w:p>
    <w:p>
      <w:pPr>
        <w:pStyle w:val="ListParagraph"/>
        <w:numPr>
          <w:ilvl w:val="0"/>
          <w:numId w:val="2"/>
        </w:numPr>
      </w:pPr>
      <w:r>
        <w:t xml:space="preserve">Never let sample size alone drive the narrative (large n can make tiny effects “significant”).</w:t>
      </w:r>
    </w:p>
    <w:p>
      <w:pPr>
        <w:pStyle w:val="ListParagraph"/>
        <w:numPr>
          <w:ilvl w:val="0"/>
          <w:numId w:val="2"/>
        </w:numPr>
      </w:pPr>
      <w:r>
        <w:t xml:space="preserve">Document limitations: measurement error, sampling frame, potential confounders, assumption violations.</w:t>
      </w:r>
    </w:p>
    <w:p>
      <w:pPr>
        <w:pStyle w:val="ListParagraph"/>
        <w:numPr>
          <w:ilvl w:val="0"/>
          <w:numId w:val="2"/>
        </w:numPr>
      </w:pPr>
      <w:r>
        <w:t xml:space="preserve">Write conclusions that a critical reader would find honest rather than promotional.</w:t>
      </w:r>
    </w:p>
    <w:p>
      <w:pPr>
        <w:pStyle w:val="Heading2"/>
      </w:pPr>
      <w:r>
        <w:t xml:space="preserve">7. Reproducibility &amp; Deliverables</w:t>
      </w:r>
    </w:p>
    <w:p>
      <w:pPr>
        <w:pStyle w:val="ListParagraph"/>
        <w:numPr>
          <w:ilvl w:val="0"/>
          <w:numId w:val="2"/>
        </w:numPr>
      </w:pPr>
      <w:r>
        <w:t xml:space="preserve">All analyses live in a well-commented Jupyter notebook (or equivalent script).</w:t>
      </w:r>
    </w:p>
    <w:p>
      <w:pPr>
        <w:pStyle w:val="ListParagraph"/>
        <w:numPr>
          <w:ilvl w:val="0"/>
          <w:numId w:val="2"/>
        </w:numPr>
      </w:pPr>
      <w:r>
        <w:t xml:space="preserve">Key results and plots are exported and included in the final report / memo / slides.</w:t>
      </w:r>
    </w:p>
    <w:p>
      <w:pPr>
        <w:pStyle w:val="ListParagraph"/>
        <w:numPr>
          <w:ilvl w:val="0"/>
          <w:numId w:val="2"/>
        </w:numPr>
      </w:pPr>
      <w:r>
        <w:t xml:space="preserve">Code can be re-run from top to bottom without errors and produces the same numerical results.</w:t>
      </w:r>
    </w:p>
    <w:p>
      <w:pPr>
        <w:pStyle w:val="ListParagraph"/>
        <w:numPr>
          <w:ilvl w:val="0"/>
          <w:numId w:val="2"/>
        </w:numPr>
      </w:pPr>
      <w:r>
        <w:t xml:space="preserve">A short methods section describes exactly which tests were chosen and why.</w:t>
      </w:r>
    </w:p>
    <w:p>
      <w:pPr>
        <w:pBdr>
          <w:top w:val="single" w:color="1B4F72" w:sz="6" w:space="8"/>
        </w:pBdr>
        <w:spacing w:before="400"/>
      </w:pPr>
      <w:r>
        <w:rPr>
          <w:b/>
          <w:bCs/>
        </w:rPr>
        <w:t xml:space="preserve">Core Principle from the Chapter: </w:t>
      </w:r>
      <w:r>
        <w:t xml:space="preserve">Simple tests are often the most misused. Always pair numbers with plots, and numbers with substantive judgment. A statistically significant result that is scientifically trivial (or based on a silly null) is not a success.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i/>
        <w:iCs/>
        <w:color w:val="666666"/>
        <w:sz w:val="18"/>
        <w:szCs w:val="18"/>
      </w:rPr>
      <w:t xml:space="preserve">Simple Statistical Techniques Project</w:t>
    </w:r>
    <w:r>
      <w:rPr>
        <w:color w:val="999999"/>
        <w:sz w:val="18"/>
        <w:szCs w:val="18"/>
      </w:rPr>
      <w:t xml:space="preserve">  | 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2026-08-18T06:40:37.374Z</dcterms:created>
  <dcterms:modified xsi:type="dcterms:W3CDTF">2026-08-18T06:40:37.374Z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