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TO:		</w:t>
      </w:r>
      <w:r>
        <w:t xml:space="preserve">Data Science Portfolio / Project Review Committee</w:t>
      </w:r>
    </w:p>
    <w:p>
      <w:pPr>
        <w:spacing w:after="60"/>
      </w:pPr>
      <w:r>
        <w:rPr>
          <w:b/>
          <w:bCs/>
        </w:rPr>
        <w:t xml:space="preserve">FROM:	</w:t>
      </w:r>
      <w:r>
        <w:t xml:space="preserve">Analyst (Data Engineering / Applied Statistics Track)</w:t>
      </w:r>
    </w:p>
    <w:p>
      <w:pPr>
        <w:spacing w:after="60"/>
      </w:pPr>
      <w:r>
        <w:rPr>
          <w:b/>
          <w:bCs/>
        </w:rPr>
        <w:t xml:space="preserve">DATE:	</w:t>
      </w:r>
      <w:r>
        <w:t xml:space="preserve">18 August 2026</w:t>
      </w:r>
    </w:p>
    <w:p>
      <w:pPr>
        <w:spacing w:after="60"/>
      </w:pPr>
      <w:r>
        <w:rPr>
          <w:b/>
          <w:bCs/>
        </w:rPr>
        <w:t xml:space="preserve">RE:		</w:t>
      </w:r>
      <w:r>
        <w:rPr>
          <w:b/>
          <w:bCs/>
        </w:rPr>
        <w:t xml:space="preserve">Proposed Applied Project — Simple Univariate &amp; Bivariate Statistical Techniques in Python</w:t>
      </w:r>
    </w:p>
    <w:p>
      <w:pPr>
        <w:pBdr>
          <w:bottom w:val="single" w:color="1B4F72" w:sz="12" w:space="1"/>
        </w:pBdr>
        <w:spacing w:after="300"/>
      </w:pPr>
    </w:p>
    <w:p>
      <w:pPr>
        <w:pStyle w:val="Heading1"/>
      </w:pPr>
      <w:r>
        <w:t xml:space="preserve">1. Purpose</w:t>
      </w:r>
    </w:p>
    <w:p>
      <w:pPr>
        <w:spacing w:after="200"/>
      </w:pPr>
      <w:r>
        <w:t xml:space="preserve">This memorandum proposes a focused, portfolio-ready project that systematically applies the core techniques covered in Chapter 4 of Applied Univariate, Bivariate, and Multivariate Statistics Using Python (Denis, 2021): Pearson and Spearman correlation, one-sample / independent-samples / paired-samples t-tests, the binomial test, and chi-squared goodness-of-fit and contingency-table analyses. The project is designed both to deepen technical fluency and to produce clean, interpretable deliverables suitable for a data-science job portfolio.</w:t>
      </w:r>
    </w:p>
    <w:p>
      <w:pPr>
        <w:pStyle w:val="Heading1"/>
      </w:pPr>
      <w:r>
        <w:t xml:space="preserve">2. Background &amp; Motivation</w:t>
      </w:r>
    </w:p>
    <w:p>
      <w:pPr>
        <w:spacing w:after="200"/>
      </w:pPr>
      <w:r>
        <w:t xml:space="preserve">Introductory statistical tests remain among the most frequently misused tools in empirical work. Correlation coefficients are routinely reported without plots; “statistically significant” findings are often treated as automatically important; and null hypotheses of zero association are rarely interrogated for realism. A disciplined project that forces the analyst to confront these pitfalls while producing reproducible Python code is therefore high-value both pedagogically and professionally.</w:t>
      </w:r>
    </w:p>
    <w:p>
      <w:pPr>
        <w:pStyle w:val="Heading1"/>
      </w:pPr>
      <w:r>
        <w:t xml:space="preserve">3. Proposed Scope</w:t>
      </w:r>
    </w:p>
    <w:p>
      <w:pPr>
        <w:spacing w:after="120"/>
      </w:pPr>
      <w:r>
        <w:t xml:space="preserve">The project will center on a publicly available or simulated dataset that supports all of the following analyses:</w:t>
      </w:r>
    </w:p>
    <w:p>
      <w:pPr>
        <w:pStyle w:val="ListParagraph"/>
        <w:numPr>
          <w:ilvl w:val="0"/>
          <w:numId w:val="2"/>
        </w:numPr>
      </w:pPr>
      <w:r>
        <w:t xml:space="preserve">Scatterplot matrix and formal assessment of linear vs. monotonic relationships (Pearson vs. Spearman).</w:t>
      </w:r>
    </w:p>
    <w:p>
      <w:pPr>
        <w:pStyle w:val="ListParagraph"/>
        <w:numPr>
          <w:ilvl w:val="0"/>
          <w:numId w:val="2"/>
        </w:numPr>
      </w:pPr>
      <w:r>
        <w:t xml:space="preserve">One-sample, two-sample, and paired t-tests with explicit assumption checking and effect-size discussion.</w:t>
      </w:r>
    </w:p>
    <w:p>
      <w:pPr>
        <w:pStyle w:val="ListParagraph"/>
        <w:numPr>
          <w:ilvl w:val="0"/>
          <w:numId w:val="2"/>
        </w:numPr>
      </w:pPr>
      <w:r>
        <w:t xml:space="preserve">Binomial test on a binary outcome with a substantively meaningful null probability.</w:t>
      </w:r>
    </w:p>
    <w:p>
      <w:pPr>
        <w:pStyle w:val="ListParagraph"/>
        <w:numPr>
          <w:ilvl w:val="0"/>
          <w:numId w:val="2"/>
        </w:numPr>
      </w:pPr>
      <w:r>
        <w:t xml:space="preserve">Chi-squared goodness-of-fit and at least one 2×k contingency-table analysis.</w:t>
      </w:r>
    </w:p>
    <w:p>
      <w:pPr>
        <w:spacing w:after="200" w:before="120"/>
      </w:pPr>
      <w:r>
        <w:t xml:space="preserve">Candidate data domains include parent–child anthropometric measurements (classic Galton-style heritability questions), before–after intervention scores, survey response patterns, or simulated A/B-test style binary outcomes. The final choice will prioritize data that make the interpretive cautions in the chapter concrete rather than abstract.</w:t>
      </w:r>
    </w:p>
    <w:p>
      <w:pPr>
        <w:pStyle w:val="Heading1"/>
      </w:pPr>
      <w:r>
        <w:t xml:space="preserve">4. Expected Deliverables</w:t>
      </w:r>
    </w:p>
    <w:p>
      <w:pPr>
        <w:pStyle w:val="ListParagraph"/>
        <w:numPr>
          <w:ilvl w:val="0"/>
          <w:numId w:val="2"/>
        </w:numPr>
      </w:pPr>
      <w:r>
        <w:t xml:space="preserve">A fully documented, re-runnable Jupyter notebook containing all analyses, plots, and interpretive commentary.</w:t>
      </w:r>
    </w:p>
    <w:p>
      <w:pPr>
        <w:pStyle w:val="ListParagraph"/>
        <w:numPr>
          <w:ilvl w:val="0"/>
          <w:numId w:val="2"/>
        </w:numPr>
      </w:pPr>
      <w:r>
        <w:t xml:space="preserve">A concise technical checklist used to verify that each methodological safeguard has been observed.</w:t>
      </w:r>
    </w:p>
    <w:p>
      <w:pPr>
        <w:pStyle w:val="ListParagraph"/>
        <w:numPr>
          <w:ilvl w:val="0"/>
          <w:numId w:val="2"/>
        </w:numPr>
      </w:pPr>
      <w:r>
        <w:t xml:space="preserve">A short slide deck suitable for a 10–12 minute technical walk-through.</w:t>
      </w:r>
    </w:p>
    <w:p>
      <w:pPr>
        <w:pStyle w:val="ListParagraph"/>
        <w:numPr>
          <w:ilvl w:val="0"/>
          <w:numId w:val="2"/>
        </w:numPr>
      </w:pPr>
      <w:r>
        <w:t xml:space="preserve">A one-page summary of additional research questions that can be addressed with the same analytic toolkit.</w:t>
      </w:r>
    </w:p>
    <w:p>
      <w:pPr>
        <w:spacing w:after="200" w:before="120"/>
      </w:pPr>
      <w:r>
        <w:t xml:space="preserve">All materials will emphasize correct interpretation over “significant p-values.”</w:t>
      </w:r>
    </w:p>
    <w:p>
      <w:pPr>
        <w:pStyle w:val="Heading1"/>
      </w:pPr>
      <w:r>
        <w:t xml:space="preserve">5. Timeline &amp; Success Criteria</w:t>
      </w:r>
    </w:p>
    <w:p>
      <w:pPr>
        <w:spacing w:after="120"/>
      </w:pPr>
      <w:r>
        <w:t xml:space="preserve">Target completion: 7–10 focused working days. Success is defined not by the number of rejected null hypotheses but by:</w:t>
      </w:r>
    </w:p>
    <w:p>
      <w:pPr>
        <w:pStyle w:val="ListParagraph"/>
        <w:numPr>
          <w:ilvl w:val="0"/>
          <w:numId w:val="2"/>
        </w:numPr>
      </w:pPr>
      <w:r>
        <w:t xml:space="preserve">Every correlation reported with its scatterplot;</w:t>
      </w:r>
    </w:p>
    <w:p>
      <w:pPr>
        <w:pStyle w:val="ListParagraph"/>
        <w:numPr>
          <w:ilvl w:val="0"/>
          <w:numId w:val="2"/>
        </w:numPr>
      </w:pPr>
      <w:r>
        <w:t xml:space="preserve">Explicit discussion of what the chosen null hypothesis actually means;</w:t>
      </w:r>
    </w:p>
    <w:p>
      <w:pPr>
        <w:pStyle w:val="ListParagraph"/>
        <w:numPr>
          <w:ilvl w:val="0"/>
          <w:numId w:val="2"/>
        </w:numPr>
      </w:pPr>
      <w:r>
        <w:t xml:space="preserve">Transparent acknowledgment of the proportion of variance left unexplained (1 − r²);</w:t>
      </w:r>
    </w:p>
    <w:p>
      <w:pPr>
        <w:pStyle w:val="ListParagraph"/>
        <w:numPr>
          <w:ilvl w:val="0"/>
          <w:numId w:val="2"/>
        </w:numPr>
      </w:pPr>
      <w:r>
        <w:t xml:space="preserve">Clean, reproducible code that a peer can execute without modification.</w:t>
      </w:r>
    </w:p>
    <w:p>
      <w:pPr>
        <w:pStyle w:val="Heading1"/>
      </w:pPr>
      <w:r>
        <w:t xml:space="preserve">6. Recommendation</w:t>
      </w:r>
    </w:p>
    <w:p>
      <w:pPr>
        <w:spacing w:after="200"/>
      </w:pPr>
      <w:r>
        <w:t xml:space="preserve">I recommend approval of this project as a high-leverage exercise in both technical execution and scientific judgment. The resulting notebook and supporting documents will serve as a durable reference for future, more complex modeling work.</w:t>
      </w:r>
    </w:p>
    <w:p>
      <w:pPr>
        <w:spacing w:before="300"/>
      </w:pPr>
      <w:r>
        <w:t xml:space="preserve">Respectfully submitted,</w:t>
      </w:r>
    </w:p>
    <w:p>
      <w:pPr>
        <w:spacing w:before="200"/>
      </w:pPr>
      <w:r>
        <w:rPr>
          <w:i/>
          <w:iCs/>
        </w:rPr>
        <w:t xml:space="preserve">Analyst</w:t>
      </w:r>
    </w:p>
    <w:p>
      <w:r>
        <w:t xml:space="preserve">Data Engineering &amp; Applied Statistics Track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b/>
        <w:bCs/>
        <w:color w:val="666666"/>
        <w:sz w:val="18"/>
        <w:szCs w:val="18"/>
      </w:rPr>
      <w:t xml:space="preserve">INTERNAL MEMORANDUM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2026-08-18T06:41:17.848Z</dcterms:created>
  <dcterms:modified xsi:type="dcterms:W3CDTF">2026-08-18T06:41:17.848Z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