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Top 5 Additional Topics Analyzable with the Same Toolkit</w:t>
      </w:r>
    </w:p>
    <w:p>
      <w:pPr>
        <w:spacing w:after="200"/>
      </w:pPr>
      <w:r>
        <w:rPr>
          <w:color w:val="444444"/>
          <w:sz w:val="20"/>
          <w:szCs w:val="20"/>
        </w:rPr>
        <w:t xml:space="preserve">The methods in Chapter 4 (Pearson/Spearman correlation, t-tests, binomial tests, and chi-squared analyses) form a versatile foundation. Below are five high-value project directions that can be executed with exactly the same analytic repertoire, each offering clear portfolio and research value.</w:t>
      </w:r>
    </w:p>
    <w:p>
      <w:pPr>
        <w:pStyle w:val="Heading2"/>
      </w:pPr>
      <w:r>
        <w:t xml:space="preserve">1. Intergenerational Transmission of Physical Traits (Galton-Style Extension)</w:t>
      </w:r>
    </w:p>
    <w:p>
      <w:pPr>
        <w:spacing w:after="100"/>
      </w:pPr>
      <w:r>
        <w:t xml:space="preserve">Classic height or other anthropometric data (parent–child, sibling pairs) remain ideal for practicing correlation, scatterplot diagnostics, and careful interpretation of heritability-style coefficients. Extensions can include mid-parent values, sex-specific analyses, or comparison of Pearson versus Spearman when growth curves introduce mild non-linearity.</w:t>
      </w:r>
    </w:p>
    <w:p>
      <w:pPr>
        <w:pStyle w:val="ListParagraph"/>
        <w:numPr>
          <w:ilvl w:val="0"/>
          <w:numId w:val="2"/>
        </w:numPr>
      </w:pPr>
      <w:r>
        <w:t xml:space="preserve">Key techniques: Pearson &amp; Spearman correlation, pairplots, one-sample tests against historical means.</w:t>
      </w:r>
    </w:p>
    <w:p>
      <w:pPr>
        <w:pStyle w:val="ListParagraph"/>
        <w:numPr>
          <w:ilvl w:val="0"/>
          <w:numId w:val="2"/>
        </w:numPr>
      </w:pPr>
      <w:r>
        <w:t xml:space="preserve">Interpretive payoff: Forces discussion of what a correlation of ~0.4–0.5 actually means for variance explained and residual mystery.</w:t>
      </w:r>
    </w:p>
    <w:p>
      <w:pPr>
        <w:pStyle w:val="Heading2"/>
      </w:pPr>
      <w:r>
        <w:t xml:space="preserve">2. Pre–Post Intervention or Training Effects (Paired Designs)</w:t>
      </w:r>
    </w:p>
    <w:p>
      <w:pPr>
        <w:spacing w:after="100"/>
      </w:pPr>
      <w:r>
        <w:t xml:space="preserve">Any setting in which the same units are measured before and after an intervention (learning trials, therapy scores, productivity metrics, physiological markers) maps directly onto the paired-samples t-test and, when more than two time points exist, foreshadows repeated-measures ANOVA.</w:t>
      </w:r>
    </w:p>
    <w:p>
      <w:pPr>
        <w:pStyle w:val="ListParagraph"/>
        <w:numPr>
          <w:ilvl w:val="0"/>
          <w:numId w:val="2"/>
        </w:numPr>
      </w:pPr>
      <w:r>
        <w:t xml:space="preserve">Key techniques: Paired t-test, difference-score distributions, effect-size framing, assumption checks.</w:t>
      </w:r>
    </w:p>
    <w:p>
      <w:pPr>
        <w:pStyle w:val="ListParagraph"/>
        <w:numPr>
          <w:ilvl w:val="0"/>
          <w:numId w:val="2"/>
        </w:numPr>
      </w:pPr>
      <w:r>
        <w:t xml:space="preserve">Interpretive payoff: Highlights the distinction between statistical significance of a mean change and the practical magnitude of that change.</w:t>
      </w:r>
    </w:p>
    <w:p>
      <w:pPr>
        <w:pStyle w:val="Heading2"/>
      </w:pPr>
      <w:r>
        <w:t xml:space="preserve">3. Binary Outcome Fairness or Process Capability Checks</w:t>
      </w:r>
    </w:p>
    <w:p>
      <w:pPr>
        <w:spacing w:after="100"/>
      </w:pPr>
      <w:r>
        <w:t xml:space="preserve">Quality-control, manufacturing, clinical trial randomization checks, or simple “fair coin / fair process” questions are natural binomial-test applications. The same data can often be re-framed as a one-sample proportion test or a goodness-of-fit problem.</w:t>
      </w:r>
    </w:p>
    <w:p>
      <w:pPr>
        <w:pStyle w:val="ListParagraph"/>
        <w:numPr>
          <w:ilvl w:val="0"/>
          <w:numId w:val="2"/>
        </w:numPr>
      </w:pPr>
      <w:r>
        <w:t xml:space="preserve">Key techniques: Binomial test, chi-squared goodness-of-fit against hypothesized proportions.</w:t>
      </w:r>
    </w:p>
    <w:p>
      <w:pPr>
        <w:pStyle w:val="ListParagraph"/>
        <w:numPr>
          <w:ilvl w:val="0"/>
          <w:numId w:val="2"/>
        </w:numPr>
      </w:pPr>
      <w:r>
        <w:t xml:space="preserve">Interpretive payoff: Emphasizes that “p &gt; 0.05 does not prove fairness”—it merely fails to reject the null.</w:t>
      </w:r>
    </w:p>
    <w:p>
      <w:pPr>
        <w:pStyle w:val="Heading2"/>
      </w:pPr>
      <w:r>
        <w:t xml:space="preserve">4. Categorical Association in Survey or Administrative Data</w:t>
      </w:r>
    </w:p>
    <w:p>
      <w:pPr>
        <w:spacing w:after="100"/>
      </w:pPr>
      <w:r>
        <w:t xml:space="preserve">Contingency tables appear everywhere: exposure × outcome, treatment arm × response category, demographic group × preference, region × service utilization. These are textbook settings for chi-squared tests of independence and residual examination.</w:t>
      </w:r>
    </w:p>
    <w:p>
      <w:pPr>
        <w:pStyle w:val="ListParagraph"/>
        <w:numPr>
          <w:ilvl w:val="0"/>
          <w:numId w:val="2"/>
        </w:numPr>
      </w:pPr>
      <w:r>
        <w:t xml:space="preserve">Key techniques: Chi-squared contingency tables, expected vs. observed cell counts, percentage breakdowns.</w:t>
      </w:r>
    </w:p>
    <w:p>
      <w:pPr>
        <w:pStyle w:val="ListParagraph"/>
        <w:numPr>
          <w:ilvl w:val="0"/>
          <w:numId w:val="2"/>
        </w:numPr>
      </w:pPr>
      <w:r>
        <w:t xml:space="preserve">Interpretive payoff: Trains the analyst to move beyond the global p-value to the pattern of association that actually matters.</w:t>
      </w:r>
    </w:p>
    <w:p>
      <w:pPr>
        <w:pStyle w:val="Heading2"/>
      </w:pPr>
      <w:r>
        <w:t xml:space="preserve">5. Rank-Based Relationships in Non-Linear or Ordinal Settings</w:t>
      </w:r>
    </w:p>
    <w:p>
      <w:pPr>
        <w:spacing w:after="100"/>
      </w:pPr>
      <w:r>
        <w:t xml:space="preserve">Whenever a relationship is expected to be monotonic but not linear (dose–response curves that plateau, preference rankings, growth that saturates, economic variables with diminishing returns), Spearman’s rho becomes the primary tool. Comparing it side-by-side with Pearson supplies a concrete lesson in “what the coefficient is actually measuring.”</w:t>
      </w:r>
    </w:p>
    <w:p>
      <w:pPr>
        <w:pStyle w:val="ListParagraph"/>
        <w:numPr>
          <w:ilvl w:val="0"/>
          <w:numId w:val="2"/>
        </w:numPr>
      </w:pPr>
      <w:r>
        <w:t xml:space="preserve">Key techniques: Spearman correlation, visual monotonicity checks, divergence diagnosis between Pearson and Spearman.</w:t>
      </w:r>
    </w:p>
    <w:p>
      <w:pPr>
        <w:pStyle w:val="ListParagraph"/>
        <w:numPr>
          <w:ilvl w:val="0"/>
          <w:numId w:val="2"/>
        </w:numPr>
      </w:pPr>
      <w:r>
        <w:t xml:space="preserve">Interpretive payoff: Reinforces the chapter’s central warning that a near-zero Pearson r does not equal “no relationship.”</w:t>
      </w:r>
    </w:p>
    <w:p>
      <w:pPr>
        <w:pBdr>
          <w:top w:val="single" w:color="1B4F72" w:sz="6" w:space="8"/>
        </w:pBdr>
        <w:spacing w:before="400"/>
      </w:pPr>
      <w:r>
        <w:rPr>
          <w:b/>
          <w:bCs/>
        </w:rPr>
        <w:t xml:space="preserve">How to use this list: </w:t>
      </w:r>
      <w:r>
        <w:t xml:space="preserve">Any one of the five topics can be turned into a complete, self-contained Jupyter notebook project that re-uses the exact same code skeleton (data load → exploratory plots → formal tests → critical interpretation). Choosing a domain that matches personal or professional interest increases both motivation and the authenticity of the interpretive narrative.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i/>
        <w:iCs/>
        <w:color w:val="666666"/>
        <w:sz w:val="18"/>
        <w:szCs w:val="18"/>
      </w:rPr>
      <w:t xml:space="preserve">Simple Statistical Techniques  |  Extension Ideas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2026-08-18T06:41:54.184Z</dcterms:created>
  <dcterms:modified xsi:type="dcterms:W3CDTF">2026-08-18T06:41:54.184Z</dcterms:modified>
</cp:coreProperties>
</file>

<file path=docProps/custom.xml><?xml version="1.0" encoding="utf-8"?>
<Properties xmlns="http://schemas.openxmlformats.org/officeDocument/2006/custom-properties" xmlns:vt="http://schemas.openxmlformats.org/officeDocument/2006/docPropsVTypes"/>
</file>