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TO:		</w:t>
      </w:r>
      <w:r>
        <w:t xml:space="preserve">Data Science Portfolio Reviewer / Learning Mentor</w:t>
      </w:r>
    </w:p>
    <w:p>
      <w:pPr>
        <w:spacing w:after="60"/>
      </w:pPr>
      <w:r>
        <w:rPr>
          <w:b/>
          <w:bCs/>
        </w:rPr>
        <w:t xml:space="preserve">FROM:		</w:t>
      </w:r>
      <w:r>
        <w:t xml:space="preserve">Álvaro / Ronin — Data Science Practitioner-in-Training</w:t>
      </w:r>
    </w:p>
    <w:p>
      <w:pPr>
        <w:spacing w:after="60"/>
      </w:pPr>
      <w:r>
        <w:rPr>
          <w:b/>
          <w:bCs/>
        </w:rPr>
        <w:t xml:space="preserve">DATE:		</w:t>
      </w:r>
      <w:r>
        <w:t xml:space="preserve">18 August 2026</w:t>
      </w:r>
    </w:p>
    <w:p>
      <w:pPr>
        <w:spacing w:after="60"/>
      </w:pPr>
      <w:r>
        <w:rPr>
          <w:b/>
          <w:bCs/>
        </w:rPr>
        <w:t xml:space="preserve">RE:		</w:t>
      </w:r>
      <w:r>
        <w:rPr>
          <w:b/>
          <w:bCs/>
        </w:rPr>
        <w:t xml:space="preserve">Proposed Project — Applied ANOVA with Python (One-Way &amp; Factorial Designs)</w:t>
      </w:r>
    </w:p>
    <w:p>
      <w:pPr>
        <w:pBdr>
          <w:bottom w:val="single" w:color="999999" w:sz="6" w:space="1"/>
        </w:pBdr>
        <w:spacing w:after="300"/>
      </w:pPr>
    </w:p>
    <w:p>
      <w:pPr>
        <w:spacing w:after="200"/>
      </w:pPr>
      <w:r>
        <w:t xml:space="preserve">Purpose</w:t>
      </w:r>
    </w:p>
    <w:p>
      <w:pPr>
        <w:spacing w:after="200"/>
      </w:pPr>
      <w:r>
        <w:t xml:space="preserve">This memorandum outlines a self-directed learning and portfolio project centered on the Analysis of Variance (ANOVA). The project follows the pedagogical structure and Python workflows presented in Chapter 6 of Denis (2021), Applied Univariate, Bivariate, and Multivariate Statistics Using Python. The goal is to move from conceptual mastery to fully reproducible applied analysis suitable for a job-ready data science portfolio.</w:t>
      </w:r>
    </w:p>
    <w:p>
      <w:pPr>
        <w:spacing w:after="200"/>
      </w:pPr>
      <w:r>
        <w:rPr>
          <w:b/>
          <w:bCs/>
        </w:rPr>
        <w:t xml:space="preserve">Project Rationale</w:t>
      </w:r>
    </w:p>
    <w:p>
      <w:pPr>
        <w:spacing w:after="120"/>
      </w:pPr>
      <w:r>
        <w:t xml:space="preserve">ANOVA remains one of the foundational tools of experimental and observational data analysis across the sciences. Mastery of the method delivers three concrete benefits for a developing data scientist:</w:t>
      </w:r>
    </w:p>
    <w:p>
      <w:pPr>
        <w:pStyle w:val="ListParagraph"/>
        <w:numPr>
          <w:ilvl w:val="0"/>
          <w:numId w:val="2"/>
        </w:numPr>
      </w:pPr>
      <w:r>
        <w:t xml:space="preserve">Deep understanding of variance partitioning, which underpins linear models, mixed-effects models, and modern machine-learning diagnostics.</w:t>
      </w:r>
    </w:p>
    <w:p>
      <w:pPr>
        <w:pStyle w:val="ListParagraph"/>
        <w:numPr>
          <w:ilvl w:val="0"/>
          <w:numId w:val="2"/>
        </w:numPr>
      </w:pPr>
      <w:r>
        <w:t xml:space="preserve">Practical experience with assumption checking, effect-size reporting, and post-hoc procedures — skills frequently tested in technical interviews and required on the job.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clear, reproducible notebook artifact that demonstrates both statistical literacy and clean Python engineering.</w:t>
      </w:r>
    </w:p>
    <w:p>
      <w:pPr>
        <w:spacing w:after="200"/>
      </w:pPr>
      <w:r>
        <w:rPr>
          <w:b/>
          <w:bCs/>
        </w:rPr>
        <w:t xml:space="preserve">Scope of Work</w:t>
      </w:r>
    </w:p>
    <w:p>
      <w:pPr>
        <w:spacing w:after="120"/>
      </w:pPr>
      <w:r>
        <w:t xml:space="preserve">The project will deliver the following artifacts:</w:t>
      </w:r>
    </w:p>
    <w:p>
      <w:pPr>
        <w:pStyle w:val="ListParagraph"/>
        <w:numPr>
          <w:ilvl w:val="0"/>
          <w:numId w:val="2"/>
        </w:numPr>
      </w:pPr>
      <w:r>
        <w:t xml:space="preserve">A fully documented Jupyter notebook implementing one-way ANOVA on the classic teacher-achievement data set, including assumption diagnostics, η² effect size, and Tukey HSD post-hoc tests.</w:t>
      </w:r>
    </w:p>
    <w:p>
      <w:pPr>
        <w:pStyle w:val="ListParagraph"/>
        <w:numPr>
          <w:ilvl w:val="0"/>
          <w:numId w:val="2"/>
        </w:numPr>
      </w:pPr>
      <w:r>
        <w:t xml:space="preserve">Extension to a two-way (factorial) design that includes the textbook factor, with explicit modeling and interpretation of the interaction term.</w:t>
      </w:r>
    </w:p>
    <w:p>
      <w:pPr>
        <w:pStyle w:val="ListParagraph"/>
        <w:numPr>
          <w:ilvl w:val="0"/>
          <w:numId w:val="2"/>
        </w:numPr>
      </w:pPr>
      <w:r>
        <w:t xml:space="preserve">Residual diagnostics (QQ plots) and a concise written interpretation of results.</w:t>
      </w:r>
    </w:p>
    <w:p>
      <w:pPr>
        <w:pStyle w:val="ListParagraph"/>
        <w:numPr>
          <w:ilvl w:val="0"/>
          <w:numId w:val="2"/>
        </w:numPr>
      </w:pPr>
      <w:r>
        <w:t xml:space="preserve">A reusable template notebook that can be adapted to any similar multi-group comparison problem.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short slide deck summarizing the conceptual and applied findings for presentation or portfolio review.</w:t>
      </w:r>
    </w:p>
    <w:p>
      <w:pPr>
        <w:spacing w:after="200"/>
      </w:pPr>
      <w:r>
        <w:rPr>
          <w:b/>
          <w:bCs/>
        </w:rPr>
        <w:t xml:space="preserve">Key Learning Objectives</w:t>
      </w:r>
    </w:p>
    <w:p>
      <w:pPr>
        <w:pStyle w:val="ListParagraph"/>
        <w:numPr>
          <w:ilvl w:val="0"/>
          <w:numId w:val="2"/>
        </w:numPr>
      </w:pPr>
      <w:r>
        <w:t xml:space="preserve">Articulate why ANOVA controls the family-wise Type I error rate better than a battery of uncorrected t-tests.</w:t>
      </w:r>
    </w:p>
    <w:p>
      <w:pPr>
        <w:pStyle w:val="ListParagraph"/>
        <w:numPr>
          <w:ilvl w:val="0"/>
          <w:numId w:val="2"/>
        </w:numPr>
      </w:pPr>
      <w:r>
        <w:t xml:space="preserve">Correctly partition total sum of squares into between-group and residual components and compute the F-ratio.</w:t>
      </w:r>
    </w:p>
    <w:p>
      <w:pPr>
        <w:pStyle w:val="ListParagraph"/>
        <w:numPr>
          <w:ilvl w:val="0"/>
          <w:numId w:val="2"/>
        </w:numPr>
      </w:pPr>
      <w:r>
        <w:t xml:space="preserve">Evaluate and communicate the practical meaning of assumption violations rather than treating them as binary pass/fail gates.</w:t>
      </w:r>
    </w:p>
    <w:p>
      <w:pPr>
        <w:pStyle w:val="ListParagraph"/>
        <w:numPr>
          <w:ilvl w:val="0"/>
          <w:numId w:val="2"/>
        </w:numPr>
      </w:pPr>
      <w:r>
        <w:t xml:space="preserve">Interpret interactions before main effects and recognize that the presence of an interaction changes the scientific story.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Produce publication-ready tables and figures that a hiring manager or collaborator can trust.</w:t>
      </w:r>
    </w:p>
    <w:p>
      <w:pPr>
        <w:spacing w:after="200"/>
      </w:pPr>
      <w:r>
        <w:rPr>
          <w:b/>
          <w:bCs/>
        </w:rPr>
        <w:t xml:space="preserve">Timeline &amp; Success Criteria</w:t>
      </w:r>
    </w:p>
    <w:p>
      <w:pPr>
        <w:spacing w:after="120"/>
      </w:pPr>
      <w:r>
        <w:t xml:space="preserve">Estimated effort: 8–12 focused hours. Success is defined by (1) a clean, executable notebook that reproduces all key results from the chapter, (2) written interpretation that goes beyond p-values to effect sizes and scientific meaning, and (3) a reusable template ready for future projects involving multi-group comparisons.</w:t>
      </w:r>
    </w:p>
    <w:p>
      <w:pPr>
        <w:spacing w:after="200"/>
      </w:pPr>
      <w:r>
        <w:rPr>
          <w:b/>
          <w:bCs/>
        </w:rPr>
        <w:t xml:space="preserve">Requested Action</w:t>
      </w:r>
    </w:p>
    <w:p>
      <w:pPr>
        <w:spacing w:after="200"/>
      </w:pPr>
      <w:r>
        <w:t xml:space="preserve">Please review this proposal for alignment with current learning goals. Feedback on scope, depth of residual analysis, or preferred post-hoc procedure is welcome before the notebook is finalized.</w:t>
      </w:r>
    </w:p>
    <w:p>
      <w:pPr>
        <w:spacing w:before="300"/>
      </w:pPr>
      <w:r>
        <w:t xml:space="preserve">Respectfully submitted,</w:t>
      </w:r>
    </w:p>
    <w:p>
      <w:pPr>
        <w:spacing w:before="200"/>
      </w:pPr>
      <w:r>
        <w:rPr>
          <w:b/>
          <w:bCs/>
        </w:rPr>
        <w:t xml:space="preserve">Álvaro / Ronin</w:t>
      </w:r>
    </w:p>
    <w:p>
      <w:r>
        <w:rPr>
          <w:i/>
          <w:iCs/>
          <w:sz w:val="20"/>
          <w:szCs w:val="20"/>
        </w:rPr>
        <w:t xml:space="preserve">Data Science Practitioner-in-Training</w:t>
      </w:r>
    </w:p>
    <w:p>
      <w:r>
        <w:rPr>
          <w:color w:val="666666"/>
          <w:sz w:val="20"/>
          <w:szCs w:val="20"/>
        </w:rPr>
        <w:t xml:space="preserve">Costa Rica  |  Portfolio Project Series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— For Portfolio / Learning Use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</w:pPr>
    <w:r>
      <w:rPr>
        <w:b/>
        <w:bCs/>
        <w:color w:val="1F4E79"/>
        <w:sz w:val="20"/>
        <w:szCs w:val="20"/>
      </w:rPr>
      <w:t xml:space="preserve">INTERNAL MEMORANDUM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2026-08-18T07:14:31.450Z</dcterms:created>
  <dcterms:modified xsi:type="dcterms:W3CDTF">2026-08-18T07:14:31.450Z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