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Top 5 Topics That Can Be Analyzed with the Same ANOVA Framework</w:t>
      </w:r>
    </w:p>
    <w:p>
      <w:pPr>
        <w:spacing w:after="200"/>
      </w:pPr>
      <w:r>
        <w:t xml:space="preserve">The one-way and factorial ANOVA procedures demonstrated in the teacher-achievement example are highly general. Once the variance-partitioning logic, assumption checks, post-hoc controls, and interaction interpretation are mastered, the same workflow transfers directly to many other substantive domains. Below are five high-value topics that map cleanly onto the same Python-based ANOVA pipeline.</w:t>
      </w:r>
    </w:p>
    <w:p>
      <w:pPr>
        <w:pStyle w:val="Heading2"/>
      </w:pPr>
      <w:r>
        <w:t xml:space="preserve">1. Educational Intervention Effectiveness</w:t>
      </w:r>
    </w:p>
    <w:p>
      <w:pPr>
        <w:spacing w:after="120"/>
      </w:pPr>
      <w:r>
        <w:rPr>
          <w:b/>
          <w:bCs/>
        </w:rPr>
        <w:t xml:space="preserve">Design: </w:t>
      </w:r>
      <w:r>
        <w:t xml:space="preserve">Students randomly assigned to different teaching methods, curricula, or digital platforms; outcome = standardized test scores or learning gains.</w:t>
      </w:r>
    </w:p>
    <w:p>
      <w:pPr>
        <w:spacing w:after="120"/>
      </w:pPr>
      <w:r>
        <w:rPr>
          <w:b/>
          <w:bCs/>
        </w:rPr>
        <w:t xml:space="preserve">Why ANOVA fits: </w:t>
      </w:r>
      <w:r>
        <w:t xml:space="preserve">Classic multi-group comparison. Factorial extensions easily incorporate covariates such as prior achievement, socioeconomic status, or school type.</w:t>
      </w:r>
    </w:p>
    <w:p>
      <w:pPr>
        <w:pStyle w:val="ListParagraph"/>
        <w:numPr>
          <w:ilvl w:val="0"/>
          <w:numId w:val="2"/>
        </w:numPr>
      </w:pPr>
      <w:r>
        <w:t xml:space="preserve">One-way: Compare 3–5 instructional conditions.</w:t>
      </w:r>
    </w:p>
    <w:p>
      <w:pPr>
        <w:pStyle w:val="ListParagraph"/>
        <w:numPr>
          <w:ilvl w:val="0"/>
          <w:numId w:val="2"/>
        </w:numPr>
      </w:pPr>
      <w:r>
        <w:t xml:space="preserve">Two-way: Instruction × Grade level or Instruction × Delivery mode (in-person vs. hybrid).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Post-hoc: Tukey HSD to identify which methods differ significantly.</w:t>
      </w:r>
    </w:p>
    <w:p>
      <w:pPr>
        <w:pStyle w:val="Heading2"/>
      </w:pPr>
      <w:r>
        <w:t xml:space="preserve">2. A/B/n Testing of Product Features or Marketing Creatives</w:t>
      </w:r>
    </w:p>
    <w:p>
      <w:pPr>
        <w:spacing w:after="120"/>
      </w:pPr>
      <w:r>
        <w:rPr>
          <w:b/>
          <w:bCs/>
        </w:rPr>
        <w:t xml:space="preserve">Design: </w:t>
      </w:r>
      <w:r>
        <w:t xml:space="preserve">Users randomly exposed to different versions of a feature, landing page, or advertisement; outcome = conversion rate, time-on-site, or revenue per user.</w:t>
      </w:r>
    </w:p>
    <w:p>
      <w:pPr>
        <w:spacing w:after="120"/>
      </w:pPr>
      <w:r>
        <w:rPr>
          <w:b/>
          <w:bCs/>
        </w:rPr>
        <w:t xml:space="preserve">Why ANOVA fits: </w:t>
      </w:r>
      <w:r>
        <w:t xml:space="preserve">When more than two variants are tested simultaneously, ANOVA (or its generalized linear model counterpart) provides a single omnibus test and controlled post-hoc comparisons.</w:t>
      </w:r>
    </w:p>
    <w:p>
      <w:pPr>
        <w:pStyle w:val="ListParagraph"/>
        <w:numPr>
          <w:ilvl w:val="0"/>
          <w:numId w:val="2"/>
        </w:numPr>
      </w:pPr>
      <w:r>
        <w:t xml:space="preserve">One-way: Multiple creative variants.</w:t>
      </w:r>
    </w:p>
    <w:p>
      <w:pPr>
        <w:pStyle w:val="ListParagraph"/>
        <w:numPr>
          <w:ilvl w:val="0"/>
          <w:numId w:val="2"/>
        </w:numPr>
      </w:pPr>
      <w:r>
        <w:t xml:space="preserve">Factorial: Creative × Audience segment or Creative × Device type.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Interaction interpretation is especially valuable for personalization insights.</w:t>
      </w:r>
    </w:p>
    <w:p>
      <w:pPr>
        <w:pStyle w:val="Heading2"/>
      </w:pPr>
      <w:r>
        <w:t xml:space="preserve">3. Clinical or Health-Outcome Comparisons Across Treatment Arms</w:t>
      </w:r>
    </w:p>
    <w:p>
      <w:pPr>
        <w:spacing w:after="120"/>
      </w:pPr>
      <w:r>
        <w:rPr>
          <w:b/>
          <w:bCs/>
        </w:rPr>
        <w:t xml:space="preserve">Design: </w:t>
      </w:r>
      <w:r>
        <w:t xml:space="preserve">Patients randomized to different dosages, treatment protocols, or combination therapies; continuous outcomes such as symptom reduction scores, biomarkers, or quality-of-life indices.</w:t>
      </w:r>
    </w:p>
    <w:p>
      <w:pPr>
        <w:spacing w:after="120"/>
      </w:pPr>
      <w:r>
        <w:rPr>
          <w:b/>
          <w:bCs/>
        </w:rPr>
        <w:t xml:space="preserve">Why ANOVA fits: </w:t>
      </w:r>
      <w:r>
        <w:t xml:space="preserve">The same F-test logic applies; repeated-measures or mixed ANOVA extensions handle longitudinal follow-up.</w:t>
      </w:r>
    </w:p>
    <w:p>
      <w:pPr>
        <w:pStyle w:val="ListParagraph"/>
        <w:numPr>
          <w:ilvl w:val="0"/>
          <w:numId w:val="2"/>
        </w:numPr>
      </w:pPr>
      <w:r>
        <w:t xml:space="preserve">One-way: Dose-response comparison.</w:t>
      </w:r>
    </w:p>
    <w:p>
      <w:pPr>
        <w:pStyle w:val="ListParagraph"/>
        <w:numPr>
          <w:ilvl w:val="0"/>
          <w:numId w:val="2"/>
        </w:numPr>
      </w:pPr>
      <w:r>
        <w:t xml:space="preserve">Factorial: Treatment × Sex or Treatment × Age group (classic interaction questions).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Assumption diagnostics become critical for regulatory-grade reporting.</w:t>
      </w:r>
    </w:p>
    <w:p>
      <w:pPr>
        <w:pStyle w:val="Heading2"/>
      </w:pPr>
      <w:r>
        <w:t xml:space="preserve">4. Organizational or HR Experiments (Training Programs, Incentive Schemes)</w:t>
      </w:r>
    </w:p>
    <w:p>
      <w:pPr>
        <w:spacing w:after="120"/>
      </w:pPr>
      <w:r>
        <w:rPr>
          <w:b/>
          <w:bCs/>
        </w:rPr>
        <w:t xml:space="preserve">Design: </w:t>
      </w:r>
      <w:r>
        <w:t xml:space="preserve">Employees assigned to different training modules, compensation structures, or feedback systems; outcomes = performance ratings, productivity metrics, or retention indicators.</w:t>
      </w:r>
    </w:p>
    <w:p>
      <w:pPr>
        <w:spacing w:after="120"/>
      </w:pPr>
      <w:r>
        <w:rPr>
          <w:b/>
          <w:bCs/>
        </w:rPr>
        <w:t xml:space="preserve">Why ANOVA fits: </w:t>
      </w:r>
      <w:r>
        <w:t xml:space="preserve">Multi-group experimental designs are common in people analytics. Blocking on department or tenure improves precision.</w:t>
      </w:r>
    </w:p>
    <w:p>
      <w:pPr>
        <w:pStyle w:val="ListParagraph"/>
        <w:numPr>
          <w:ilvl w:val="0"/>
          <w:numId w:val="2"/>
        </w:numPr>
      </w:pPr>
      <w:r>
        <w:t xml:space="preserve">One-way: Compare training providers or incentive types.</w:t>
      </w:r>
    </w:p>
    <w:p>
      <w:pPr>
        <w:pStyle w:val="ListParagraph"/>
        <w:numPr>
          <w:ilvl w:val="0"/>
          <w:numId w:val="2"/>
        </w:numPr>
      </w:pPr>
      <w:r>
        <w:t xml:space="preserve">Blocked / repeated-measures: Pre–post performance within the same employees.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Effect-size reporting (η²) helps quantify practical business impact.</w:t>
      </w:r>
    </w:p>
    <w:p>
      <w:pPr>
        <w:pStyle w:val="Heading2"/>
      </w:pPr>
      <w:r>
        <w:t xml:space="preserve">5. Agricultural, Environmental, or Process-Engineering Trials</w:t>
      </w:r>
    </w:p>
    <w:p>
      <w:pPr>
        <w:spacing w:after="120"/>
      </w:pPr>
      <w:r>
        <w:rPr>
          <w:b/>
          <w:bCs/>
        </w:rPr>
        <w:t xml:space="preserve">Design: </w:t>
      </w:r>
      <w:r>
        <w:t xml:space="preserve">Plots, batches, or production runs assigned to different fertilizers, temperatures, catalysts, or process parameters; continuous response = yield, purity, energy consumption, or defect rate.</w:t>
      </w:r>
    </w:p>
    <w:p>
      <w:pPr>
        <w:spacing w:after="120"/>
      </w:pPr>
      <w:r>
        <w:rPr>
          <w:b/>
          <w:bCs/>
        </w:rPr>
        <w:t xml:space="preserve">Why ANOVA fits: </w:t>
      </w:r>
      <w:r>
        <w:t xml:space="preserve">Historically the birthplace of ANOVA (Fisher). Factorial designs and blocking are native to these fields.</w:t>
      </w:r>
    </w:p>
    <w:p>
      <w:pPr>
        <w:pStyle w:val="ListParagraph"/>
        <w:numPr>
          <w:ilvl w:val="0"/>
          <w:numId w:val="2"/>
        </w:numPr>
      </w:pPr>
      <w:r>
        <w:t xml:space="preserve">One-way or multi-way factorial experiments.</w:t>
      </w:r>
    </w:p>
    <w:p>
      <w:pPr>
        <w:pStyle w:val="ListParagraph"/>
        <w:numPr>
          <w:ilvl w:val="0"/>
          <w:numId w:val="2"/>
        </w:numPr>
      </w:pPr>
      <w:r>
        <w:t xml:space="preserve">Randomized complete block designs when field heterogeneity is present.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Interaction plots remain the most intuitive way to communicate results to non-statisticians.</w:t>
      </w:r>
    </w:p>
    <w:p>
      <w:pPr>
        <w:pStyle w:val="Heading2"/>
      </w:pPr>
      <w:r>
        <w:t xml:space="preserve">How to Reuse the Template</w:t>
      </w:r>
    </w:p>
    <w:p>
      <w:pPr>
        <w:spacing w:after="120"/>
      </w:pPr>
      <w:r>
        <w:t xml:space="preserve">For any of the topics above:</w:t>
      </w:r>
    </w:p>
    <w:p>
      <w:pPr>
        <w:pStyle w:val="ListParagraph"/>
        <w:numPr>
          <w:ilvl w:val="0"/>
          <w:numId w:val="3"/>
        </w:numPr>
      </w:pPr>
      <w:r>
        <w:t xml:space="preserve">Replace the data-loading cell with the new data source.</w:t>
      </w:r>
    </w:p>
    <w:p>
      <w:pPr>
        <w:pStyle w:val="ListParagraph"/>
        <w:numPr>
          <w:ilvl w:val="0"/>
          <w:numId w:val="3"/>
        </w:numPr>
      </w:pPr>
      <w:r>
        <w:t xml:space="preserve">Update the formula in ols() to match the new factor names.</w:t>
      </w:r>
    </w:p>
    <w:p>
      <w:pPr>
        <w:pStyle w:val="ListParagraph"/>
        <w:numPr>
          <w:ilvl w:val="0"/>
          <w:numId w:val="3"/>
        </w:numPr>
      </w:pPr>
      <w:r>
        <w:t xml:space="preserve">Re-run the assumption diagnostics and interpret them in the new scientific context.</w:t>
      </w:r>
    </w:p>
    <w:p>
      <w:pPr>
        <w:pStyle w:val="ListParagraph"/>
        <w:numPr>
          <w:ilvl w:val="0"/>
          <w:numId w:val="3"/>
        </w:numPr>
      </w:pPr>
      <w:r>
        <w:t xml:space="preserve">Adjust post-hoc and effect-size reporting language to the domain.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Document the design (randomization, blocking, sample size justification) so the analysis remains transparent.</w:t>
      </w:r>
    </w:p>
    <w:p>
      <w:pPr>
        <w:spacing w:before="200"/>
      </w:pPr>
      <w:r>
        <w:rPr>
          <w:i/>
          <w:iCs/>
        </w:rPr>
        <w:t xml:space="preserve">Mastering the teacher-achievement example therefore unlocks a wide family of practical analyses. The same code structure, the same diagnostic discipline, and the same interpretive priorities apply across all five domains.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 |  Portfolio Support Material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</w:pPr>
    <w:r>
      <w:rPr>
        <w:i/>
        <w:iCs/>
        <w:color w:val="666666"/>
        <w:sz w:val="18"/>
        <w:szCs w:val="18"/>
      </w:rPr>
      <w:t xml:space="preserve">Related Analytical Topics — ANOVA Extensions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2026-08-18T07:15:15.243Z</dcterms:created>
  <dcterms:modified xsi:type="dcterms:W3CDTF">2026-08-18T07:15:15.243Z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