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 5 Topics That Can Be Analyzed with Simple &amp; Multiple Linear Regression</w:t>
      </w:r>
    </w:p>
    <w:p>
      <w:pPr>
        <w:spacing w:after="200"/>
      </w:pPr>
      <w:r>
        <w:t xml:space="preserve">The same methodological framework used in the core project (OLS estimation, R² / adjusted R², partial coefficients, residual diagnostics, and careful model-specification thinking) transfers directly to many other substantive domains. Below are five high-value areas where this type of project can be fruitfully repeated or extended.</w:t>
      </w:r>
    </w:p>
    <w:p>
      <w:pPr>
        <w:pStyle w:val="Heading2"/>
      </w:pPr>
      <w:r>
        <w:t xml:space="preserve">1. Educational Assessment &amp; Cognitive Skill Prediction</w:t>
      </w:r>
    </w:p>
    <w:p>
      <w:pPr>
        <w:spacing w:after="120"/>
      </w:pPr>
      <w:r>
        <w:t xml:space="preserve">Predict student performance (test scores, GPA, graduation probability proxies) from quantitative, verbal, and analytic sub-scores, prior academic indicators, or socioeconomic covariates. The classic IQ-style example in the source chapter is a direct instance of this class of problems.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Continuous outcomes, multiple correlated predictors, strong need for partial-coefficient interpretation and multicollinearity checks.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caution: </w:t>
      </w:r>
      <w:r>
        <w:t xml:space="preserve">Avoid causal claims about “intelligence” or fixed ability; focus on prediction and variance accounted for within the observed variables.</w:t>
      </w:r>
    </w:p>
    <w:p>
      <w:pPr>
        <w:pStyle w:val="Heading2"/>
      </w:pPr>
      <w:r>
        <w:t xml:space="preserve">2. Health Outcomes &amp; Risk-Factor Modeling</w:t>
      </w:r>
    </w:p>
    <w:p>
      <w:pPr>
        <w:spacing w:after="120"/>
      </w:pPr>
      <w:r>
        <w:t xml:space="preserve">Model continuous health markers (blood pressure, BMI, recovery time, symptom severity scales) as a function of lifestyle, biometric, and demographic predictors. Classic examples include predicting health costs or clinical scores from multiple risk factors.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High practical utility; requires careful attention to model specification (omitted confounders) and residual diagnostics.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caution: </w:t>
      </w:r>
      <w:r>
        <w:t xml:space="preserve">Observational health data almost always suffer from residual confounding; report results as associative / predictive within the fitted model, not as causal effects unless design supports it.</w:t>
      </w:r>
    </w:p>
    <w:p>
      <w:pPr>
        <w:pStyle w:val="Heading2"/>
      </w:pPr>
      <w:r>
        <w:t xml:space="preserve">3. Business &amp; Operational Performance Metrics</w:t>
      </w:r>
    </w:p>
    <w:p>
      <w:pPr>
        <w:spacing w:after="120"/>
      </w:pPr>
      <w:r>
        <w:t xml:space="preserve">Predict sales, customer lifetime value, process cycle time, defect rates, or employee productivity from operational drivers (marketing spend, training hours, machine parameters, staffing levels).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Managers need interpretable coefficients (“what happens to Y when we change X while holding Z constant”). Utility and cost of obtaining predictors become first-class concerns.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caution: </w:t>
      </w:r>
      <w:r>
        <w:t xml:space="preserve">Prefer parsimonious models that remain actionable; adjusted R² and practical utility often matter more than maximizing raw R².</w:t>
      </w:r>
    </w:p>
    <w:p>
      <w:pPr>
        <w:pStyle w:val="Heading2"/>
      </w:pPr>
      <w:r>
        <w:t xml:space="preserve">4. Environmental &amp; Agricultural Yield Modeling</w:t>
      </w:r>
    </w:p>
    <w:p>
      <w:pPr>
        <w:spacing w:after="120"/>
      </w:pPr>
      <w:r>
        <w:t xml:space="preserve">Relate crop yield, water quality indices, or energy consumption to climatic, soil, management, and input variables. Multiple continuous predictors and a continuous response make OLS a natural starting point.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Spatial or temporal structure may later require extensions, but the basic linear model and residual analysis form the necessary foundation.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caution: </w:t>
      </w:r>
      <w:r>
        <w:t xml:space="preserve">Check for spatial autocorrelation and non-linear dose–response relationships; polynomial or interaction terms may be required.</w:t>
      </w:r>
    </w:p>
    <w:p>
      <w:pPr>
        <w:pStyle w:val="Heading2"/>
      </w:pPr>
      <w:r>
        <w:t xml:space="preserve">5. Social &amp; Behavioral Science Attitude / Outcome Prediction</w:t>
      </w:r>
    </w:p>
    <w:p>
      <w:pPr>
        <w:spacing w:after="120"/>
      </w:pPr>
      <w:r>
        <w:t xml:space="preserve">Predict continuous measures of well-being, job satisfaction, policy support, or behavioral intensity from psychological scales, demographic variables, and contextual predictors.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Multiple correlated predictors are the norm; the chapter’s warnings about context-dependency, mediation over-interpretation, and model-specification error are especially salient.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caution: </w:t>
      </w:r>
      <w:r>
        <w:t xml:space="preserve">Statistical mediation is variance partitioning, not automatic evidence of a psychological or social process. Design and theory must do the heavy lifting.</w:t>
      </w:r>
    </w:p>
    <w:p>
      <w:pPr>
        <w:pStyle w:val="Heading1"/>
      </w:pPr>
      <w:r>
        <w:t xml:space="preserve">Common Methodological Thread</w:t>
      </w:r>
    </w:p>
    <w:p>
      <w:pPr>
        <w:spacing w:after="120"/>
      </w:pPr>
      <w:r>
        <w:t xml:space="preserve">Across all five domains the same core practices apply:</w:t>
      </w:r>
    </w:p>
    <w:p>
      <w:pPr>
        <w:pStyle w:val="ListParagraph"/>
        <w:numPr>
          <w:ilvl w:val="0"/>
          <w:numId w:val="2"/>
        </w:numPr>
      </w:pPr>
      <w:r>
        <w:t xml:space="preserve">Justify candidate predictors substantively before running algorithms.</w:t>
      </w:r>
    </w:p>
    <w:p>
      <w:pPr>
        <w:pStyle w:val="ListParagraph"/>
        <w:numPr>
          <w:ilvl w:val="0"/>
          <w:numId w:val="2"/>
        </w:numPr>
      </w:pPr>
      <w:r>
        <w:t xml:space="preserve">Interpret every coefficient inside the model that produced it.</w:t>
      </w:r>
    </w:p>
    <w:p>
      <w:pPr>
        <w:pStyle w:val="ListParagraph"/>
        <w:numPr>
          <w:ilvl w:val="0"/>
          <w:numId w:val="2"/>
        </w:numPr>
      </w:pPr>
      <w:r>
        <w:t xml:space="preserve">Report both R² and adjusted R² (or information criteria).</w:t>
      </w:r>
    </w:p>
    <w:p>
      <w:pPr>
        <w:pStyle w:val="ListParagraph"/>
        <w:numPr>
          <w:ilvl w:val="0"/>
          <w:numId w:val="2"/>
        </w:numPr>
      </w:pPr>
      <w:r>
        <w:t xml:space="preserve">Diagnose residuals thoroughly.</w:t>
      </w:r>
    </w:p>
    <w:p>
      <w:pPr>
        <w:pStyle w:val="ListParagraph"/>
        <w:numPr>
          <w:ilvl w:val="0"/>
          <w:numId w:val="2"/>
        </w:numPr>
      </w:pPr>
      <w:r>
        <w:t xml:space="preserve">Resist causal language unless the design supports it.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Treat the final model as one useful description among many possible descriptions of the data.</w:t>
      </w:r>
    </w:p>
    <w:p>
      <w:pPr>
        <w:spacing w:before="200"/>
      </w:pPr>
      <w:r>
        <w:rPr>
          <w:i/>
          <w:iCs/>
        </w:rPr>
        <w:t xml:space="preserve">These topics can be used for portfolio pieces, internal capability projects, or rapid-response analyses whenever a continuous outcome and a set of continuous (or suitably coded) predictors are available.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|  Project Extension Notes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i/>
        <w:iCs/>
        <w:color w:val="666666"/>
        <w:sz w:val="18"/>
        <w:szCs w:val="18"/>
      </w:rPr>
      <w:t xml:space="preserve">Additional Application Domains for Linear Regression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2026-08-18T07:34:39.091Z</dcterms:created>
  <dcterms:modified xsi:type="dcterms:W3CDTF">2026-08-18T07:34:39.092Z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