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Logistic Regression Project Success Checklist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A practical checklist for completing a binary logistic regression analysis following the framework of the Generalized Linear Model (GLM). Based on Chapter 8 concepts: odds, logits, model context, and interpretation.</w:t>
      </w:r>
    </w:p>
    <w:p>
      <w:pPr>
        <w:pStyle w:val="Heading2"/>
      </w:pPr>
      <w:r>
        <w:t xml:space="preserve">1. Project Definition &amp; Measurement</w:t>
      </w:r>
    </w:p>
    <w:p>
      <w:pPr>
        <w:pStyle w:val="ListParagraph"/>
        <w:numPr>
          <w:ilvl w:val="0"/>
          <w:numId w:val="2"/>
        </w:numPr>
      </w:pPr>
      <w:r>
        <w:t xml:space="preserve">Clearly define the binary response variable (mutually exclusive outcomes: event vs. non-event)</w:t>
      </w:r>
    </w:p>
    <w:p>
      <w:pPr>
        <w:pStyle w:val="ListParagraph"/>
        <w:numPr>
          <w:ilvl w:val="0"/>
          <w:numId w:val="2"/>
        </w:numPr>
      </w:pPr>
      <w:r>
        <w:t xml:space="preserve">Confirm the scientific justification for treating the outcome as binary rather than continuous or ordinal</w:t>
      </w:r>
    </w:p>
    <w:p>
      <w:pPr>
        <w:pStyle w:val="ListParagraph"/>
        <w:numPr>
          <w:ilvl w:val="0"/>
          <w:numId w:val="2"/>
        </w:numPr>
      </w:pPr>
      <w:r>
        <w:t xml:space="preserve">Document how the binary outcome was operationalized / measured</w:t>
      </w:r>
    </w:p>
    <w:p>
      <w:pPr>
        <w:pStyle w:val="ListParagraph"/>
        <w:numPr>
          <w:ilvl w:val="0"/>
          <w:numId w:val="2"/>
        </w:numPr>
      </w:pPr>
      <w:r>
        <w:t xml:space="preserve">Identify the primary research or business question the model will answer</w:t>
      </w:r>
    </w:p>
    <w:p>
      <w:pPr>
        <w:pStyle w:val="ListParagraph"/>
        <w:numPr>
          <w:ilvl w:val="0"/>
          <w:numId w:val="2"/>
        </w:numPr>
      </w:pPr>
      <w:r>
        <w:t xml:space="preserve">List candidate predictors and the theoretical rationale for each</w:t>
      </w:r>
    </w:p>
    <w:p>
      <w:pPr>
        <w:pStyle w:val="Heading2"/>
      </w:pPr>
      <w:r>
        <w:t xml:space="preserve">2. Data Preparation</w:t>
      </w:r>
    </w:p>
    <w:p>
      <w:pPr>
        <w:pStyle w:val="ListParagraph"/>
        <w:numPr>
          <w:ilvl w:val="0"/>
          <w:numId w:val="2"/>
        </w:numPr>
      </w:pPr>
      <w:r>
        <w:t xml:space="preserve">Load and inspect the dataset (shape, dtypes, missing values)</w:t>
      </w:r>
    </w:p>
    <w:p>
      <w:pPr>
        <w:pStyle w:val="ListParagraph"/>
        <w:numPr>
          <w:ilvl w:val="0"/>
          <w:numId w:val="2"/>
        </w:numPr>
      </w:pPr>
      <w:r>
        <w:t xml:space="preserve">Verify the response is coded 0/1 (or map categories accordingly)</w:t>
      </w:r>
    </w:p>
    <w:p>
      <w:pPr>
        <w:pStyle w:val="ListParagraph"/>
        <w:numPr>
          <w:ilvl w:val="0"/>
          <w:numId w:val="2"/>
        </w:numPr>
      </w:pPr>
      <w:r>
        <w:t xml:space="preserve">Examine class balance / base rate of the positive class</w:t>
      </w:r>
    </w:p>
    <w:p>
      <w:pPr>
        <w:pStyle w:val="ListParagraph"/>
        <w:numPr>
          <w:ilvl w:val="0"/>
          <w:numId w:val="2"/>
        </w:numPr>
      </w:pPr>
      <w:r>
        <w:t xml:space="preserve">Check continuous predictors for outliers and potential separation issues</w:t>
      </w:r>
    </w:p>
    <w:p>
      <w:pPr>
        <w:pStyle w:val="ListParagraph"/>
        <w:numPr>
          <w:ilvl w:val="0"/>
          <w:numId w:val="2"/>
        </w:numPr>
      </w:pPr>
      <w:r>
        <w:t xml:space="preserve">Handle missing data appropriately (document decisions)</w:t>
      </w:r>
    </w:p>
    <w:p>
      <w:pPr>
        <w:pStyle w:val="ListParagraph"/>
        <w:numPr>
          <w:ilvl w:val="0"/>
          <w:numId w:val="2"/>
        </w:numPr>
      </w:pPr>
      <w:r>
        <w:t xml:space="preserve">Create any necessary derived features or dummy variables</w:t>
      </w:r>
    </w:p>
    <w:p>
      <w:pPr>
        <w:pStyle w:val="Heading2"/>
      </w:pPr>
      <w:r>
        <w:t xml:space="preserve">3. Exploratory Analysis</w:t>
      </w:r>
    </w:p>
    <w:p>
      <w:pPr>
        <w:pStyle w:val="ListParagraph"/>
        <w:numPr>
          <w:ilvl w:val="0"/>
          <w:numId w:val="2"/>
        </w:numPr>
      </w:pPr>
      <w:r>
        <w:t xml:space="preserve">Visualize the distribution of the binary outcome</w:t>
      </w:r>
    </w:p>
    <w:p>
      <w:pPr>
        <w:pStyle w:val="ListParagraph"/>
        <w:numPr>
          <w:ilvl w:val="0"/>
          <w:numId w:val="2"/>
        </w:numPr>
      </w:pPr>
      <w:r>
        <w:t xml:space="preserve">Examine bivariate relationships between each predictor and the outcome</w:t>
      </w:r>
    </w:p>
    <w:p>
      <w:pPr>
        <w:pStyle w:val="ListParagraph"/>
        <w:numPr>
          <w:ilvl w:val="0"/>
          <w:numId w:val="2"/>
        </w:numPr>
      </w:pPr>
      <w:r>
        <w:t xml:space="preserve">Assess potential multicollinearity among predictors</w:t>
      </w:r>
    </w:p>
    <w:p>
      <w:pPr>
        <w:pStyle w:val="ListParagraph"/>
        <w:numPr>
          <w:ilvl w:val="0"/>
          <w:numId w:val="2"/>
        </w:numPr>
      </w:pPr>
      <w:r>
        <w:t xml:space="preserve">Note any monotonic patterns that support a linear logit relationship</w:t>
      </w:r>
    </w:p>
    <w:p>
      <w:pPr>
        <w:pStyle w:val="Heading2"/>
      </w:pPr>
      <w:r>
        <w:t xml:space="preserve">4. Model Fitting</w:t>
      </w:r>
    </w:p>
    <w:p>
      <w:pPr>
        <w:pStyle w:val="ListParagraph"/>
        <w:numPr>
          <w:ilvl w:val="0"/>
          <w:numId w:val="2"/>
        </w:numPr>
      </w:pPr>
      <w:r>
        <w:t xml:space="preserve">Add intercept using sm.add_constant() (or equivalent)</w:t>
      </w:r>
    </w:p>
    <w:p>
      <w:pPr>
        <w:pStyle w:val="ListParagraph"/>
        <w:numPr>
          <w:ilvl w:val="0"/>
          <w:numId w:val="2"/>
        </w:numPr>
      </w:pPr>
      <w:r>
        <w:t xml:space="preserve">Fit the logistic model via Maximum Likelihood (sm.Logit or sm.GLM with Binomial + logit link)</w:t>
      </w:r>
    </w:p>
    <w:p>
      <w:pPr>
        <w:pStyle w:val="ListParagraph"/>
        <w:numPr>
          <w:ilvl w:val="0"/>
          <w:numId w:val="2"/>
        </w:numPr>
      </w:pPr>
      <w:r>
        <w:t xml:space="preserve">Confirm successful convergence of the optimization</w:t>
      </w:r>
    </w:p>
    <w:p>
      <w:pPr>
        <w:pStyle w:val="ListParagraph"/>
        <w:numPr>
          <w:ilvl w:val="0"/>
          <w:numId w:val="2"/>
        </w:numPr>
      </w:pPr>
      <w:r>
        <w:t xml:space="preserve">Record model fit statistics: Log-Likelihood, LL-Null, Pseudo R², LLR p-value</w:t>
      </w:r>
    </w:p>
    <w:p>
      <w:pPr>
        <w:pStyle w:val="ListParagraph"/>
        <w:numPr>
          <w:ilvl w:val="0"/>
          <w:numId w:val="2"/>
        </w:numPr>
      </w:pPr>
      <w:r>
        <w:t xml:space="preserve">For multiple predictors, fit both the full model and reduced models if needed for comparison</w:t>
      </w:r>
    </w:p>
    <w:p>
      <w:pPr>
        <w:pStyle w:val="Heading2"/>
      </w:pPr>
      <w:r>
        <w:t xml:space="preserve">5. Coefficient Interpretation (Critical)</w:t>
      </w:r>
    </w:p>
    <w:p>
      <w:pPr>
        <w:pStyle w:val="ListParagraph"/>
        <w:numPr>
          <w:ilvl w:val="0"/>
          <w:numId w:val="2"/>
        </w:numPr>
      </w:pPr>
      <w:r>
        <w:t xml:space="preserve">Interpret each coefficient on the logit (log-odds) scale first</w:t>
      </w:r>
    </w:p>
    <w:p>
      <w:pPr>
        <w:pStyle w:val="ListParagraph"/>
        <w:numPr>
          <w:ilvl w:val="0"/>
          <w:numId w:val="2"/>
        </w:numPr>
      </w:pPr>
      <w:r>
        <w:t xml:space="preserve">Always state the full model context: “holding all other predictors constant”</w:t>
      </w:r>
    </w:p>
    <w:p>
      <w:pPr>
        <w:pStyle w:val="ListParagraph"/>
        <w:numPr>
          <w:ilvl w:val="0"/>
          <w:numId w:val="2"/>
        </w:numPr>
      </w:pPr>
      <w:r>
        <w:t xml:space="preserve">Convert coefficients to odds ratios using exp(coef)</w:t>
      </w:r>
    </w:p>
    <w:p>
      <w:pPr>
        <w:pStyle w:val="ListParagraph"/>
        <w:numPr>
          <w:ilvl w:val="0"/>
          <w:numId w:val="2"/>
        </w:numPr>
      </w:pPr>
      <w:r>
        <w:t xml:space="preserve">Convert selected predicted logits to probabilities for communication</w:t>
      </w:r>
    </w:p>
    <w:p>
      <w:pPr>
        <w:pStyle w:val="ListParagraph"/>
        <w:numPr>
          <w:ilvl w:val="0"/>
          <w:numId w:val="2"/>
        </w:numPr>
      </w:pPr>
      <w:r>
        <w:t xml:space="preserve">Verify that odds ratios and probabilities are directionally consistent</w:t>
      </w:r>
    </w:p>
    <w:p>
      <w:pPr>
        <w:pStyle w:val="ListParagraph"/>
        <w:numPr>
          <w:ilvl w:val="0"/>
          <w:numId w:val="2"/>
        </w:numPr>
      </w:pPr>
      <w:r>
        <w:t xml:space="preserve">Document that coefficients change when the set of predictors changes</w:t>
      </w:r>
    </w:p>
    <w:p>
      <w:pPr>
        <w:pStyle w:val="Heading2"/>
      </w:pPr>
      <w:r>
        <w:t xml:space="preserve">6. Model Evaluation &amp; Diagnostics</w:t>
      </w:r>
    </w:p>
    <w:p>
      <w:pPr>
        <w:pStyle w:val="ListParagraph"/>
        <w:numPr>
          <w:ilvl w:val="0"/>
          <w:numId w:val="2"/>
        </w:numPr>
      </w:pPr>
      <w:r>
        <w:t xml:space="preserve">Generate predicted probabilities and classify at a chosen threshold (default 0.5)</w:t>
      </w:r>
    </w:p>
    <w:p>
      <w:pPr>
        <w:pStyle w:val="ListParagraph"/>
        <w:numPr>
          <w:ilvl w:val="0"/>
          <w:numId w:val="2"/>
        </w:numPr>
      </w:pPr>
      <w:r>
        <w:t xml:space="preserve">Produce confusion matrix and classification metrics (accuracy, precision, recall, F1)</w:t>
      </w:r>
    </w:p>
    <w:p>
      <w:pPr>
        <w:pStyle w:val="ListParagraph"/>
        <w:numPr>
          <w:ilvl w:val="0"/>
          <w:numId w:val="2"/>
        </w:numPr>
      </w:pPr>
      <w:r>
        <w:t xml:space="preserve">Plot and interpret the ROC curve and AUC</w:t>
      </w:r>
    </w:p>
    <w:p>
      <w:pPr>
        <w:pStyle w:val="ListParagraph"/>
        <w:numPr>
          <w:ilvl w:val="0"/>
          <w:numId w:val="2"/>
        </w:numPr>
      </w:pPr>
      <w:r>
        <w:t xml:space="preserve">Check for complete or quasi-complete separation</w:t>
      </w:r>
    </w:p>
    <w:p>
      <w:pPr>
        <w:pStyle w:val="ListParagraph"/>
        <w:numPr>
          <w:ilvl w:val="0"/>
          <w:numId w:val="2"/>
        </w:numPr>
      </w:pPr>
      <w:r>
        <w:t xml:space="preserve">Consider residual diagnostics or influence measures if inference is primary</w:t>
      </w:r>
    </w:p>
    <w:p>
      <w:pPr>
        <w:pStyle w:val="Heading2"/>
      </w:pPr>
      <w:r>
        <w:t xml:space="preserve">7. Communication &amp; Documentation</w:t>
      </w:r>
    </w:p>
    <w:p>
      <w:pPr>
        <w:pStyle w:val="ListParagraph"/>
        <w:numPr>
          <w:ilvl w:val="0"/>
          <w:numId w:val="2"/>
        </w:numPr>
      </w:pPr>
      <w:r>
        <w:t xml:space="preserve">Write plain-language interpretations suitable for non-statisticians</w:t>
      </w:r>
    </w:p>
    <w:p>
      <w:pPr>
        <w:pStyle w:val="ListParagraph"/>
        <w:numPr>
          <w:ilvl w:val="0"/>
          <w:numId w:val="2"/>
        </w:numPr>
      </w:pPr>
      <w:r>
        <w:t xml:space="preserve">Report odds ratios and predicted probabilities alongside p-values</w:t>
      </w:r>
    </w:p>
    <w:p>
      <w:pPr>
        <w:pStyle w:val="ListParagraph"/>
        <w:numPr>
          <w:ilvl w:val="0"/>
          <w:numId w:val="2"/>
        </w:numPr>
      </w:pPr>
      <w:r>
        <w:t xml:space="preserve">Clearly state model limitations (observational data, omitted variables, measurement quality)</w:t>
      </w:r>
    </w:p>
    <w:p>
      <w:pPr>
        <w:pStyle w:val="ListParagraph"/>
        <w:numPr>
          <w:ilvl w:val="0"/>
          <w:numId w:val="2"/>
        </w:numPr>
      </w:pPr>
      <w:r>
        <w:t xml:space="preserve">Archive code, data snapshot, and model objects for reproducibility</w:t>
      </w:r>
    </w:p>
    <w:p>
      <w:pPr>
        <w:pStyle w:val="ListParagraph"/>
        <w:numPr>
          <w:ilvl w:val="0"/>
          <w:numId w:val="2"/>
        </w:numPr>
      </w:pPr>
      <w:r>
        <w:t xml:space="preserve">Prepare visualizations that illustrate the logit → probability relationship</w:t>
      </w:r>
    </w:p>
    <w:p>
      <w:pPr>
        <w:pStyle w:val="Heading2"/>
      </w:pPr>
      <w:r>
        <w:t xml:space="preserve">8. Final Quality Gate</w:t>
      </w:r>
    </w:p>
    <w:p>
      <w:pPr>
        <w:pStyle w:val="ListParagraph"/>
        <w:numPr>
          <w:ilvl w:val="0"/>
          <w:numId w:val="2"/>
        </w:numPr>
      </w:pPr>
      <w:r>
        <w:t xml:space="preserve">All coefficients interpreted in the context of the full model</w:t>
      </w:r>
    </w:p>
    <w:p>
      <w:pPr>
        <w:pStyle w:val="ListParagraph"/>
        <w:numPr>
          <w:ilvl w:val="0"/>
          <w:numId w:val="2"/>
        </w:numPr>
      </w:pPr>
      <w:r>
        <w:t xml:space="preserve">No claim of causal effect without experimental design justification</w:t>
      </w:r>
    </w:p>
    <w:p>
      <w:pPr>
        <w:pStyle w:val="ListParagraph"/>
        <w:numPr>
          <w:ilvl w:val="0"/>
          <w:numId w:val="2"/>
        </w:numPr>
      </w:pPr>
      <w:r>
        <w:t xml:space="preserve">Measurement decisions documented and justified</w:t>
      </w:r>
    </w:p>
    <w:p>
      <w:pPr>
        <w:pStyle w:val="ListParagraph"/>
        <w:numPr>
          <w:ilvl w:val="0"/>
          <w:numId w:val="2"/>
        </w:numPr>
      </w:pPr>
      <w:r>
        <w:t xml:space="preserve">Results cross-checked with alternative software or manual calculations where feasible</w:t>
      </w:r>
    </w:p>
    <w:p>
      <w:pPr>
        <w:pStyle w:val="ListParagraph"/>
        <w:numPr>
          <w:ilvl w:val="0"/>
          <w:numId w:val="2"/>
        </w:numPr>
      </w:pPr>
      <w:r>
        <w:t xml:space="preserve">Notebook or script runs cleanly from top to bottom without errors</w:t>
      </w:r>
    </w:p>
    <w:p>
      <w:pPr>
        <w:pStyle w:val="Heading2"/>
      </w:pPr>
      <w:r>
        <w:t xml:space="preserve">Key Principle to Remember</w:t>
      </w:r>
    </w:p>
    <w:p>
      <w:pPr>
        <w:spacing w:before="100"/>
      </w:pPr>
      <w:r>
        <w:rPr>
          <w:i/>
          <w:iCs/>
          <w:sz w:val="20"/>
          <w:szCs w:val="20"/>
        </w:rPr>
        <w:t xml:space="preserve">“All models are context dependent. You must include the context of the model you ran when interpreting individual coefficients.” — Denis (2021)</w:t>
      </w:r>
    </w:p>
    <w:p>
      <w:pPr>
        <w:spacing w:before="200"/>
      </w:pPr>
      <w:r>
        <w:rPr>
          <w:color w:val="555555"/>
          <w:sz w:val="20"/>
          <w:szCs w:val="20"/>
        </w:rPr>
        <w:t xml:space="preserve">This checklist is designed for portfolio-quality, job-ready analyses. Complete every item before considering the project finished.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</w:pPr>
    <w:r>
      <w:rPr>
        <w:i/>
        <w:iCs/>
        <w:color w:val="666666"/>
        <w:sz w:val="18"/>
        <w:szCs w:val="18"/>
      </w:rPr>
      <w:t xml:space="preserve">Logistic Regression Project — Success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2026-08-18T09:57:40.726Z</dcterms:created>
  <dcterms:modified xsi:type="dcterms:W3CDTF">2026-08-18T09:57:40.726Z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