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32"/>
          <w:szCs w:val="32"/>
        </w:rPr>
        <w:t xml:space="preserve">MEMORANDUM</w:t>
      </w:r>
    </w:p>
    <w:p>
      <w:pPr>
        <w:pBdr>
          <w:bottom w:val="single" w:color="000000" w:sz="12" w:space="1"/>
        </w:pBdr>
        <w:spacing w:after="300"/>
      </w:pPr>
    </w:p>
    <w:p>
      <w:pPr>
        <w:tabs>
          <w:tab w:val="left" w:pos="1440"/>
        </w:tabs>
        <w:spacing w:after="60"/>
      </w:pPr>
      <w:r>
        <w:rPr>
          <w:b/>
          <w:bCs/>
        </w:rPr>
        <w:t xml:space="preserve">TO:	</w:t>
      </w:r>
      <w:r>
        <w:t xml:space="preserve">Data Science Portfolio / Learning Project File</w:t>
      </w:r>
    </w:p>
    <w:p>
      <w:pPr>
        <w:tabs>
          <w:tab w:val="left" w:pos="1440"/>
        </w:tabs>
        <w:spacing w:after="60"/>
      </w:pPr>
      <w:r>
        <w:rPr>
          <w:b/>
          <w:bCs/>
        </w:rPr>
        <w:t xml:space="preserve">FROM:	</w:t>
      </w:r>
      <w:r>
        <w:t xml:space="preserve">Applied Statistics Practice Series</w:t>
      </w:r>
    </w:p>
    <w:p>
      <w:pPr>
        <w:tabs>
          <w:tab w:val="left" w:pos="1440"/>
        </w:tabs>
        <w:spacing w:after="60"/>
      </w:pPr>
      <w:r>
        <w:rPr>
          <w:b/>
          <w:bCs/>
        </w:rPr>
        <w:t xml:space="preserve">DATE:	</w:t>
      </w:r>
      <w:r>
        <w:t xml:space="preserve">August 18, 2026</w:t>
      </w:r>
    </w:p>
    <w:p>
      <w:pPr>
        <w:tabs>
          <w:tab w:val="left" w:pos="1440"/>
        </w:tabs>
        <w:spacing w:after="60"/>
      </w:pPr>
      <w:r>
        <w:rPr>
          <w:b/>
          <w:bCs/>
        </w:rPr>
        <w:t xml:space="preserve">RE:	</w:t>
      </w:r>
      <w:r>
        <w:rPr>
          <w:b/>
          <w:bCs/>
        </w:rPr>
        <w:t xml:space="preserve">Project Proposal — Binary Logistic Regression for Outcome Prediction</w:t>
      </w:r>
    </w:p>
    <w:p>
      <w:pPr>
        <w:pBdr>
          <w:bottom w:val="single" w:color="000000" w:sz="6" w:space="1"/>
        </w:pBdr>
        <w:spacing w:after="300"/>
      </w:pPr>
    </w:p>
    <w:p>
      <w:pPr>
        <w:spacing w:after="200"/>
      </w:pPr>
      <w:r>
        <w:t xml:space="preserve">Purpose</w:t>
      </w:r>
    </w:p>
    <w:p>
      <w:pPr>
        <w:spacing w:after="200"/>
      </w:pPr>
      <w:r>
        <w:t xml:space="preserve">This memorandum outlines a practical, portfolio-ready project focused on the application of binary logistic regression within the Generalized Linear Model (GLM) framework. The project directly implements the concepts presented in Chapter 8 of Denis (2021), Applied Univariate, Bivariate, and Multivariate Statistics Using Python.</w:t>
      </w:r>
    </w:p>
    <w:p>
      <w:pPr>
        <w:spacing w:after="200"/>
      </w:pPr>
      <w:r>
        <w:t xml:space="preserve">Background and Motivation</w:t>
      </w:r>
    </w:p>
    <w:p>
      <w:pPr>
        <w:spacing w:after="200"/>
      </w:pPr>
      <w:r>
        <w:t xml:space="preserve">Traditional ordinary least-squares regression assumes a continuous response variable. Many real-world outcomes of interest—equipment failure, market direction (up/down), clinical events, customer churn, or pass/fail results—are binary. Logistic regression addresses this limitation by modeling the logit (natural logarithm of the odds) of the event, thereby producing a linear predictor on a transformed scale while preserving a probabilistic interpretation.</w:t>
      </w:r>
    </w:p>
    <w:p>
      <w:pPr>
        <w:spacing w:after="200"/>
      </w:pPr>
      <w:r>
        <w:t xml:space="preserve">The project will reinforce three foundational ideas: (1) the distinction between probability, odds, and the logit; (2) the necessity of interpreting every coefficient in the full context of the model; and (3) the practical workflow of fitting, diagnosing, and communicating results in Python using statsmodels.</w:t>
      </w:r>
    </w:p>
    <w:p>
      <w:pPr>
        <w:spacing w:after="200"/>
      </w:pPr>
      <w:r>
        <w:t xml:space="preserve">Project Objectives</w:t>
      </w:r>
    </w:p>
    <w:p>
      <w:pPr>
        <w:spacing w:after="80"/>
      </w:pPr>
      <w:r>
        <w:t xml:space="preserve">1. Implement simple and multiple logistic regression models on binary response data.</w:t>
      </w:r>
    </w:p>
    <w:p>
      <w:pPr>
        <w:spacing w:after="80"/>
      </w:pPr>
      <w:r>
        <w:t xml:space="preserve">2. Correctly transform and interpret coefficients as log-odds, odds ratios, and predicted probabilities.</w:t>
      </w:r>
    </w:p>
    <w:p>
      <w:pPr>
        <w:spacing w:after="80"/>
      </w:pPr>
      <w:r>
        <w:t xml:space="preserve">3. Demonstrate that coefficient estimates are model-context dependent by comparing nested specifications.</w:t>
      </w:r>
    </w:p>
    <w:p>
      <w:pPr>
        <w:spacing w:after="80"/>
      </w:pPr>
      <w:r>
        <w:t xml:space="preserve">4. Produce clean, reproducible code and professional documentation suitable for a data science portfolio.</w:t>
      </w:r>
    </w:p>
    <w:p>
      <w:pPr>
        <w:spacing w:after="200"/>
      </w:pPr>
      <w:r>
        <w:t xml:space="preserve">5. Apply the methodology to at least one classic dataset (Challenger O-ring) and one contemporary open dataset (e.g., Heart Failure Clinical Records or S&amp;P 500 daily direction).</w:t>
      </w:r>
    </w:p>
    <w:p>
      <w:pPr>
        <w:spacing w:after="200"/>
      </w:pPr>
      <w:r>
        <w:t xml:space="preserve">Proposed Scope and Deliverables</w:t>
      </w:r>
    </w:p>
    <w:p>
      <w:pPr>
        <w:spacing w:after="80"/>
      </w:pPr>
      <w:r>
        <w:t xml:space="preserve">• Fully annotated Jupyter notebook implementing the end-to-end workflow.</w:t>
      </w:r>
    </w:p>
    <w:p>
      <w:pPr>
        <w:spacing w:after="80"/>
      </w:pPr>
      <w:r>
        <w:t xml:space="preserve">• Written interpretation of results emphasizing model context and the logit → odds → probability chain.</w:t>
      </w:r>
    </w:p>
    <w:p>
      <w:pPr>
        <w:spacing w:after="80"/>
      </w:pPr>
      <w:r>
        <w:t xml:space="preserve">• Diagnostic plots (ROC curve, predicted probability distributions, residual checks where appropriate).</w:t>
      </w:r>
    </w:p>
    <w:p>
      <w:pPr>
        <w:spacing w:after="200"/>
      </w:pPr>
      <w:r>
        <w:t xml:space="preserve">• Short slide deck summarizing methods, key findings, and limitations for a technical audience.</w:t>
      </w:r>
    </w:p>
    <w:p>
      <w:pPr>
        <w:spacing w:after="200"/>
      </w:pPr>
      <w:r>
        <w:t xml:space="preserve">Key Methodological Guardrails</w:t>
      </w:r>
    </w:p>
    <w:p>
      <w:pPr>
        <w:spacing w:after="200"/>
      </w:pPr>
      <w:r>
        <w:t xml:space="preserve">All coefficient interpretations will explicitly reference the other predictors present in the model. No causal claims will be made from purely observational data. Measurement decisions for the binary outcome will be documented. Pseudo-R² values will be treated as relative measures of fit only, never as direct analogues of OLS R².</w:t>
      </w:r>
    </w:p>
    <w:p>
      <w:pPr>
        <w:spacing w:after="200"/>
      </w:pPr>
      <w:r>
        <w:t xml:space="preserve">Expected Learning Outcomes</w:t>
      </w:r>
    </w:p>
    <w:p>
      <w:pPr>
        <w:spacing w:after="200"/>
      </w:pPr>
      <w:r>
        <w:t xml:space="preserve">Upon completion, the analyst will be able to independently specify, fit, interpret, and communicate binary logistic regression models—skills directly transferable to applied data science roles involving classification, risk scoring, and event prediction.</w:t>
      </w:r>
    </w:p>
    <w:p>
      <w:pPr>
        <w:spacing w:after="200"/>
      </w:pPr>
      <w:r>
        <w:t xml:space="preserve">Recommendation</w:t>
      </w:r>
    </w:p>
    <w:p>
      <w:pPr>
        <w:spacing w:after="200"/>
      </w:pPr>
      <w:r>
        <w:t xml:space="preserve">Proceed with the project using the accompanying reusable notebook template and success checklist. The work is self-contained, requires only standard open-source Python libraries, and produces artifacts suitable for both learning documentation and professional portfolio inclusion.</w:t>
      </w:r>
    </w:p>
    <w:p>
      <w:pPr>
        <w:spacing w:before="300"/>
      </w:pPr>
      <w:r>
        <w:rPr>
          <w:i/>
          <w:iCs/>
          <w:color w:val="666666"/>
          <w:sz w:val="20"/>
          <w:szCs w:val="20"/>
        </w:rPr>
        <w:t xml:space="preserve">End of Memorandum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2026-08-18T09:58:13.600Z</dcterms:created>
  <dcterms:modified xsi:type="dcterms:W3CDTF">2026-08-18T09:58:13.600Z</dcterms:modified>
</cp:coreProperties>
</file>

<file path=docProps/custom.xml><?xml version="1.0" encoding="utf-8"?>
<Properties xmlns="http://schemas.openxmlformats.org/officeDocument/2006/custom-properties" xmlns:vt="http://schemas.openxmlformats.org/officeDocument/2006/docPropsVTypes"/>
</file>