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That Can Be Analyzed with Binary Logistic Regression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These topics share the same methodological structure illustrated in the Challenger O-ring, S&amp;P 500 direction, and Heart Failure examples: a binary, mutually exclusive outcome, continuous or categorical predictors, and the need to interpret results on the logit / odds / probability scales.</w:t>
      </w:r>
    </w:p>
    <w:p>
      <w:pPr>
        <w:pStyle w:val="Heading2"/>
      </w:pPr>
      <w:r>
        <w:t xml:space="preserve">1. Customer Churn / Attrition Prediction</w:t>
      </w:r>
    </w:p>
    <w:p>
      <w:pPr>
        <w:spacing w:after="120"/>
      </w:pPr>
      <w:r>
        <w:t xml:space="preserve">Predict whether a customer will leave (churn = 1) or remain (churn = 0) within a defined time window.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predictors: </w:t>
      </w:r>
      <w:r>
        <w:t xml:space="preserve">tenure, monthly charges, contract type, support ticket volume, usage metrics, satisfaction scores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value: </w:t>
      </w:r>
      <w:r>
        <w:t xml:space="preserve">targeted retention campaigns, lifetime-value prioritization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interpretation: </w:t>
      </w:r>
      <w:r>
        <w:t xml:space="preserve">odds ratios show how a one-unit change in a continuous predictor multiplies the odds of churn, holding other factors constant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datasets: </w:t>
      </w:r>
      <w:r>
        <w:t xml:space="preserve">Telco Customer Churn (Kaggle / IBM), Bank Customer Churn</w:t>
      </w:r>
    </w:p>
    <w:p>
      <w:pPr>
        <w:pStyle w:val="Heading2"/>
      </w:pPr>
      <w:r>
        <w:t xml:space="preserve">2. Credit Default / Loan Approval Risk</w:t>
      </w:r>
    </w:p>
    <w:p>
      <w:pPr>
        <w:spacing w:after="120"/>
      </w:pPr>
      <w:r>
        <w:t xml:space="preserve">Model the probability that a borrower defaults (default = 1) versus fully repays (default = 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predictors: </w:t>
      </w:r>
      <w:r>
        <w:t xml:space="preserve">credit score, debt-to-income ratio, loan amount, employment length, number of previous delinquencies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value: </w:t>
      </w:r>
      <w:r>
        <w:t xml:space="preserve">risk-based pricing, portfolio monitoring, regulatory capital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Important caveat: </w:t>
      </w:r>
      <w:r>
        <w:t xml:space="preserve">class imbalance is common; threshold selection and cost-sensitive evaluation matter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datasets: </w:t>
      </w:r>
      <w:r>
        <w:t xml:space="preserve">Lending Club, German Credit Data (UCI), Home Credit Default Risk</w:t>
      </w:r>
    </w:p>
    <w:p>
      <w:pPr>
        <w:pStyle w:val="Heading2"/>
      </w:pPr>
      <w:r>
        <w:t xml:space="preserve">3. Clinical Event / Disease Presence Classification</w:t>
      </w:r>
    </w:p>
    <w:p>
      <w:pPr>
        <w:spacing w:after="120"/>
      </w:pPr>
      <w:r>
        <w:t xml:space="preserve">Predict presence versus absence of a binary clinical outcome (e.g., heart failure diagnosis, hospital readmission, mortality within 30 days).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predictors: </w:t>
      </w:r>
      <w:r>
        <w:t xml:space="preserve">age, serum biomarkers (sodium, creatinine, ejection fraction), comorbidities, treatment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 from the source chapter: </w:t>
      </w:r>
      <w:r>
        <w:t xml:space="preserve">Heart Failure Clinical Records — classify sex or predict death event from age and serum sodium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caution: </w:t>
      </w:r>
      <w:r>
        <w:t xml:space="preserve">measurement quality and operationalization of the binary label are critical; never treat self-report or administrative codes as gold-standard without scrutiny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datasets: </w:t>
      </w:r>
      <w:r>
        <w:t xml:space="preserve">UCI Heart Failure Clinical Records, MIMIC (with proper access), Framingham Heart Study subsets</w:t>
      </w:r>
    </w:p>
    <w:p>
      <w:pPr>
        <w:pStyle w:val="Heading2"/>
      </w:pPr>
      <w:r>
        <w:t xml:space="preserve">4. Manufacturing / Reliability Failure Prediction</w:t>
      </w:r>
    </w:p>
    <w:p>
      <w:pPr>
        <w:spacing w:after="120"/>
      </w:pPr>
      <w:r>
        <w:t xml:space="preserve">Predict whether a component or system will experience a failure event (failure = 1) under given operating conditions.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Classic illustration: </w:t>
      </w:r>
      <w:r>
        <w:t xml:space="preserve">Challenger space shuttle O-ring blow-by as a function of launch temperature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predictors: </w:t>
      </w:r>
      <w:r>
        <w:t xml:space="preserve">temperature, pressure, vibration levels, cycle count, material batch, maintenance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value: </w:t>
      </w:r>
      <w:r>
        <w:t xml:space="preserve">condition-based maintenance, launch / production go–no-go decisions, safety margins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Extension: </w:t>
      </w:r>
      <w:r>
        <w:t xml:space="preserve">can be expanded to survival analysis or competing risks when time-to-event is recorded</w:t>
      </w:r>
    </w:p>
    <w:p>
      <w:pPr>
        <w:pStyle w:val="Heading2"/>
      </w:pPr>
      <w:r>
        <w:t xml:space="preserve">5. Marketing Response / Conversion Prediction</w:t>
      </w:r>
    </w:p>
    <w:p>
      <w:pPr>
        <w:spacing w:after="120"/>
      </w:pPr>
      <w:r>
        <w:t xml:space="preserve">Model whether a prospect responds to an offer or converts (response = 1) versus does not (response = 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predictors: </w:t>
      </w:r>
      <w:r>
        <w:t xml:space="preserve">recency-frequency-monetary (RFM) features, channel, demographic variables, past campaign exposure, time of day /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value: </w:t>
      </w:r>
      <w:r>
        <w:t xml:space="preserve">campaign targeting, budget allocation, uplift modeling foundations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Methodological note: </w:t>
      </w:r>
      <w:r>
        <w:t xml:space="preserve">when multiple treatments exist, logistic regression can serve as a building block for more advanced causal or uplift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datasets: </w:t>
      </w:r>
      <w:r>
        <w:t xml:space="preserve">Bank Marketing (UCI), Criteo Uplift, various Kaggle conversion datasets</w:t>
      </w:r>
    </w:p>
    <w:p>
      <w:pPr>
        <w:pStyle w:val="Heading2"/>
      </w:pPr>
      <w:r>
        <w:t xml:space="preserve">Shared Analytical Workflow Across All Five Topics</w:t>
      </w:r>
    </w:p>
    <w:p>
      <w:pPr>
        <w:spacing w:after="120"/>
      </w:pPr>
      <w:r>
        <w:t xml:space="preserve">Regardless of domain, the same sequence applies:</w:t>
      </w:r>
    </w:p>
    <w:p>
      <w:pPr>
        <w:pStyle w:val="ListParagraph"/>
        <w:numPr>
          <w:ilvl w:val="0"/>
          <w:numId w:val="2"/>
        </w:numPr>
      </w:pPr>
      <w:r>
        <w:t xml:space="preserve">Define and justify the binary outcome measurement.</w:t>
      </w:r>
    </w:p>
    <w:p>
      <w:pPr>
        <w:pStyle w:val="ListParagraph"/>
        <w:numPr>
          <w:ilvl w:val="0"/>
          <w:numId w:val="2"/>
        </w:numPr>
      </w:pPr>
      <w:r>
        <w:t xml:space="preserve">Fit the logistic model (simple or multiple) via maximum likelihood.</w:t>
      </w:r>
    </w:p>
    <w:p>
      <w:pPr>
        <w:pStyle w:val="ListParagraph"/>
        <w:numPr>
          <w:ilvl w:val="0"/>
          <w:numId w:val="2"/>
        </w:numPr>
      </w:pPr>
      <w:r>
        <w:t xml:space="preserve">Interpret coefficients on the logit scale, then convert to odds ratios and probabilities.</w:t>
      </w:r>
    </w:p>
    <w:p>
      <w:pPr>
        <w:pStyle w:val="ListParagraph"/>
        <w:numPr>
          <w:ilvl w:val="0"/>
          <w:numId w:val="2"/>
        </w:numPr>
      </w:pPr>
      <w:r>
        <w:t xml:space="preserve">Always state the full model context when reporting any single coefficient.</w:t>
      </w:r>
    </w:p>
    <w:p>
      <w:pPr>
        <w:pStyle w:val="ListParagraph"/>
        <w:numPr>
          <w:ilvl w:val="0"/>
          <w:numId w:val="2"/>
        </w:numPr>
      </w:pPr>
      <w:r>
        <w:t xml:space="preserve">Evaluate classification performance and communicate limitations clearly.</w:t>
      </w:r>
    </w:p>
    <w:p>
      <w:pPr>
        <w:spacing w:before="200"/>
      </w:pPr>
      <w:r>
        <w:rPr>
          <w:color w:val="555555"/>
          <w:sz w:val="20"/>
          <w:szCs w:val="20"/>
        </w:rPr>
        <w:t xml:space="preserve">Any of these topics can be executed end-to-end using the accompanying reusable Jupyter notebook template and success checklist.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i/>
        <w:iCs/>
        <w:color w:val="666666"/>
        <w:sz w:val="18"/>
        <w:szCs w:val="18"/>
      </w:rPr>
      <w:t xml:space="preserve">Logistic Regression — Related Project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2026-08-18T09:59:07.466Z</dcterms:created>
  <dcterms:modified xsi:type="dcterms:W3CDTF">2026-08-18T09:59:07.466Z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