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76" w:lineRule="auto"/>
        <w:jc w:val="center"/>
      </w:pPr>
      <w:r>
        <w:rPr>
          <w:rFonts w:ascii="Calibri Light" w:hAnsi="Calibri Light"/>
          <w:b/>
          <w:i w:val="0"/>
          <w:color w:val="2C5282"/>
          <w:sz w:val="48"/>
        </w:rPr>
        <w:t>THE UNIFIED PII DE-IDENTIFICATION CHECKLIST MANIFESTO</w:t>
      </w:r>
    </w:p>
    <w:p>
      <w:pPr>
        <w:spacing w:before="0" w:after="480" w:line="276" w:lineRule="auto"/>
        <w:jc w:val="center"/>
      </w:pPr>
      <w:r>
        <w:rPr>
          <w:rFonts w:ascii="Calibri" w:hAnsi="Calibri"/>
          <w:b w:val="0"/>
          <w:i/>
          <w:color w:val="4A5568"/>
          <w:sz w:val="24"/>
        </w:rPr>
        <w:t>A Technology-Agnostic Framework for Safe Data Analysis &amp; Compliance</w:t>
      </w:r>
    </w:p>
    <w:p>
      <w:pPr>
        <w:spacing w:before="0" w:after="720" w:line="276" w:lineRule="auto"/>
        <w:jc w:val="center"/>
      </w:pPr>
      <w:r>
        <w:rPr>
          <w:rFonts w:ascii="Calibri Light" w:hAnsi="Calibri Light"/>
          <w:b w:val="0"/>
          <w:i w:val="0"/>
          <w:color w:val="718096"/>
          <w:sz w:val="20"/>
        </w:rPr>
        <w:t>Standardized for Python, R, SQL, Excel, Google Sheets, and Enterprise Business Intelligence Systems</w:t>
      </w:r>
    </w:p>
    <w:p>
      <w:pPr>
        <w:keepNext/>
        <w:spacing w:before="320" w:after="120"/>
      </w:pPr>
      <w:r>
        <w:rPr>
          <w:rFonts w:ascii="Calibri Light" w:hAnsi="Calibri Light"/>
          <w:b/>
          <w:i w:val="0"/>
          <w:color w:val="2C5282"/>
          <w:sz w:val="36"/>
        </w:rPr>
        <w:t>Executive Overview &amp; Compliance Foundations</w:t>
      </w:r>
    </w:p>
    <w:p>
      <w:pPr>
        <w:spacing w:before="0" w:after="120" w:line="276" w:lineRule="auto"/>
        <w:jc w:val="left"/>
      </w:pPr>
      <w:r>
        <w:rPr>
          <w:rFonts w:ascii="Calibri" w:hAnsi="Calibri"/>
          <w:b w:val="0"/>
          <w:i w:val="0"/>
          <w:color w:val="2D3748"/>
          <w:sz w:val="22"/>
        </w:rPr>
        <w:t>Modern data analytics often relies on large datasets containing personal information. When handling user data, there is a substantial probability of possessing personally identifiable information (PII) that could lead to significant legal, reputational, and financial liability if mishandled. Data anonymization is not merely a technical nice-to-have; it is an absolute legal requirement under regulatory frameworks worldwide, including the European Union's General Data Protection Regulation (GDPR), the Health Insurance Portability and Accountability Act (HIPAA) in healthcare, the California Consumer Privacy Act (CCPA), and the Payment Card Industry Data Security Standard (PCI DSS) (Codex, 2024; Wong et al., 2023).</w:t>
      </w:r>
    </w:p>
    <w:p>
      <w:pPr>
        <w:spacing w:before="0" w:after="120" w:line="276" w:lineRule="auto"/>
        <w:jc w:val="left"/>
      </w:pPr>
      <w:r>
        <w:rPr>
          <w:rFonts w:ascii="Calibri" w:hAnsi="Calibri"/>
          <w:b w:val="0"/>
          <w:i w:val="0"/>
          <w:color w:val="2D3748"/>
          <w:sz w:val="22"/>
        </w:rPr>
        <w:t>However, effective anonymization is about more than ticking compliance checkboxes. It represents a strategic enablement that allows teams to construct safe staging, development, and testing environments. Developers and analysts can perform highly realistic performance testing and exploratory modeling without exposing real customer identifiers (Codex, 2024). To execute this safely, data professionals must master the core distinctions of the privacy preservation landscape:</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Data Anonymization: </w:t>
      </w:r>
      <w:r>
        <w:rPr>
          <w:rFonts w:ascii="Calibri" w:hAnsi="Calibri"/>
          <w:b w:val="0"/>
          <w:i w:val="0"/>
          <w:color w:val="2D3748"/>
          <w:sz w:val="22"/>
        </w:rPr>
        <w:t>An irreversible transformation that breaks any trace or linkability back to an individual. Once fully anonymized, original values cannot be recovered, and the data is no longer considered personal data under GDPR (Codex, 2024; Wong et al., 2023).</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Pseudonymization: </w:t>
      </w:r>
      <w:r>
        <w:rPr>
          <w:rFonts w:ascii="Calibri" w:hAnsi="Calibri"/>
          <w:b w:val="0"/>
          <w:i w:val="0"/>
          <w:color w:val="2D3748"/>
          <w:sz w:val="22"/>
        </w:rPr>
        <w:t>The replacement of direct identifying fields with artificial identifiers or pseudonyms. While it hides immediate identities, it maintains linkability across multiple tables or records. Because a cross-reference or key exists elsewhere, pseudonymized data remains legally classified as personal data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Encryption: </w:t>
      </w:r>
      <w:r>
        <w:rPr>
          <w:rFonts w:ascii="Calibri" w:hAnsi="Calibri"/>
          <w:b w:val="0"/>
          <w:i w:val="0"/>
          <w:color w:val="2D3748"/>
          <w:sz w:val="22"/>
        </w:rPr>
        <w:t>A reversible cryptographic masking technique. The original data is ciphered and can be fully recovered by anyone possessing the corresponding decryption key. It is used to protect data in transit and at rest but is not suitable for open analyst sharing (Codex, 2024).</w:t>
      </w:r>
    </w:p>
    <w:p>
      <w:pPr>
        <w:keepNext/>
        <w:spacing w:before="320" w:after="120"/>
      </w:pPr>
      <w:r>
        <w:rPr>
          <w:rFonts w:ascii="Calibri Light" w:hAnsi="Calibri Light"/>
          <w:b/>
          <w:i w:val="0"/>
          <w:color w:val="2C5282"/>
          <w:sz w:val="36"/>
        </w:rPr>
        <w:t>Phase 1: PII Discovery &amp; Data Classification</w:t>
      </w:r>
    </w:p>
    <w:p>
      <w:pPr>
        <w:spacing w:before="0" w:after="120" w:line="276" w:lineRule="auto"/>
        <w:jc w:val="left"/>
      </w:pPr>
      <w:r>
        <w:rPr>
          <w:rFonts w:ascii="Calibri" w:hAnsi="Calibri"/>
          <w:b w:val="0"/>
          <w:i w:val="0"/>
          <w:color w:val="2D3748"/>
          <w:sz w:val="22"/>
        </w:rPr>
        <w:t>Before applying any privacy transformation, organizations must catalog their sensitive data. Not all columns or attributes require the same level of protection. A thorough audit must be performed to discover PII across all schemas, unstructured text files, and spreadsheets. PII can exist as explicit database columns or be embedded within free-form text paragraphs, requiring automated discovery mechanisms (Walker, 2020; Jethwa, 2021).</w:t>
      </w:r>
    </w:p>
    <w:p>
      <w:pPr>
        <w:keepNext/>
        <w:spacing w:before="320" w:after="120"/>
      </w:pPr>
      <w:r>
        <w:rPr>
          <w:rFonts w:ascii="Calibri Light" w:hAnsi="Calibri Light"/>
          <w:b/>
          <w:i w:val="0"/>
          <w:color w:val="319795"/>
          <w:sz w:val="28"/>
        </w:rPr>
        <w:t>Classification Matrix Checklist</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Direct Identifiers (Wipe/Hash): </w:t>
      </w:r>
      <w:r>
        <w:rPr>
          <w:rFonts w:ascii="Calibri" w:hAnsi="Calibri"/>
          <w:b w:val="0"/>
          <w:i w:val="0"/>
          <w:color w:val="2D3748"/>
          <w:sz w:val="22"/>
        </w:rPr>
        <w:t>Identify fields that uniquely and directly pinpoint an individual. These include Social Security Numbers (SSN), passports, driver's licenses, personal emails, full names, usernames, and telephone numbers. The baseline standard is complete removal or deterministic cryptographic hashing (Codex, 2024; Jethwa, 2021).</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Quasi-Identifiers / Indirect Identifiers (Generalize/Randomize): </w:t>
      </w:r>
      <w:r>
        <w:rPr>
          <w:rFonts w:ascii="Calibri" w:hAnsi="Calibri"/>
          <w:b w:val="0"/>
          <w:i w:val="0"/>
          <w:color w:val="2D3748"/>
          <w:sz w:val="22"/>
        </w:rPr>
        <w:t>Identify fields that do not directly name an individual but can be combined or cross-referenced with external registries to re-identify them. Typical examples include ZIP codes, birth dates, geographic subdivisions, and gender. These should be generalized into ranges or randomized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Sensitive Attributes (Encrypt/Replace): </w:t>
      </w:r>
      <w:r>
        <w:rPr>
          <w:rFonts w:ascii="Calibri" w:hAnsi="Calibri"/>
          <w:b w:val="0"/>
          <w:i w:val="0"/>
          <w:color w:val="2D3748"/>
          <w:sz w:val="22"/>
        </w:rPr>
        <w:t>Identify records representing highly private domain data, such as medical diagnoses, financial transaction amounts, salaries, or grade transcripts. These require strong column-level encryption, synthetic data replacement, or adding controlled statistical noise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Non-Sensitive Attributes (Retain): </w:t>
      </w:r>
      <w:r>
        <w:rPr>
          <w:rFonts w:ascii="Calibri" w:hAnsi="Calibri"/>
          <w:b w:val="0"/>
          <w:i w:val="0"/>
          <w:color w:val="2D3748"/>
          <w:sz w:val="22"/>
        </w:rPr>
        <w:t>Identify broad operational categories, product types, and aggregated timestamps that do not present re-identification risks and can be retained in their raw form to maintain analytical value (Codex, 2024).</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2C5282" w:val="clear"/>
            <w:tcMar>
              <w:top w:w="120" w:type="dxa"/>
              <w:bottom w:w="120" w:type="dxa"/>
              <w:left w:w="150" w:type="dxa"/>
              <w:right w:w="150" w:type="dxa"/>
            </w:tcMar>
          </w:tcPr>
          <w:p>
            <w:pPr>
              <w:jc w:val="center"/>
            </w:pPr>
            <w:r>
              <w:rPr>
                <w:rFonts w:ascii="Calibri Light" w:hAnsi="Calibri Light"/>
                <w:b/>
                <w:i w:val="0"/>
                <w:color w:val="FFFFFF"/>
                <w:sz w:val="20"/>
              </w:rPr>
              <w:t>Data Category</w:t>
            </w:r>
          </w:p>
        </w:tc>
        <w:tc>
          <w:tcPr>
            <w:tcW w:type="dxa" w:w="3888"/>
            <w:shd w:fill="2C5282" w:val="clear"/>
            <w:tcMar>
              <w:top w:w="120" w:type="dxa"/>
              <w:bottom w:w="120" w:type="dxa"/>
              <w:left w:w="150" w:type="dxa"/>
              <w:right w:w="150" w:type="dxa"/>
            </w:tcMar>
          </w:tcPr>
          <w:p>
            <w:pPr>
              <w:jc w:val="center"/>
            </w:pPr>
            <w:r>
              <w:rPr>
                <w:rFonts w:ascii="Calibri Light" w:hAnsi="Calibri Light"/>
                <w:b/>
                <w:i w:val="0"/>
                <w:color w:val="FFFFFF"/>
                <w:sz w:val="20"/>
              </w:rPr>
              <w:t>Examples</w:t>
            </w:r>
          </w:p>
        </w:tc>
        <w:tc>
          <w:tcPr>
            <w:tcW w:type="dxa" w:w="2880"/>
            <w:shd w:fill="2C5282" w:val="clear"/>
            <w:tcMar>
              <w:top w:w="120" w:type="dxa"/>
              <w:bottom w:w="120" w:type="dxa"/>
              <w:left w:w="150" w:type="dxa"/>
              <w:right w:w="150" w:type="dxa"/>
            </w:tcMar>
          </w:tcPr>
          <w:p>
            <w:pPr>
              <w:jc w:val="center"/>
            </w:pPr>
            <w:r>
              <w:rPr>
                <w:rFonts w:ascii="Calibri Light" w:hAnsi="Calibri Light"/>
                <w:b/>
                <w:i w:val="0"/>
                <w:color w:val="FFFFFF"/>
                <w:sz w:val="20"/>
              </w:rPr>
              <w:t>Recommended Baseline Technique</w:t>
            </w:r>
          </w:p>
        </w:tc>
      </w:tr>
      <w:tr>
        <w:tc>
          <w:tcPr>
            <w:tcW w:type="dxa" w:w="2592"/>
            <w:shd w:fill="F7FAFC" w:val="clear"/>
            <w:tcMar>
              <w:top w:w="80" w:type="dxa"/>
              <w:bottom w:w="80" w:type="dxa"/>
              <w:left w:w="120" w:type="dxa"/>
              <w:right w:w="120" w:type="dxa"/>
            </w:tcMar>
          </w:tcPr>
          <w:p>
            <w:r>
              <w:rPr>
                <w:rFonts w:ascii="Calibri" w:hAnsi="Calibri"/>
                <w:b w:val="0"/>
                <w:i w:val="0"/>
                <w:color w:val="2D3748"/>
                <w:sz w:val="19"/>
              </w:rPr>
              <w:t>Direct Identifiers</w:t>
            </w:r>
          </w:p>
        </w:tc>
        <w:tc>
          <w:tcPr>
            <w:tcW w:type="dxa" w:w="3888"/>
            <w:shd w:fill="F7FAFC" w:val="clear"/>
            <w:tcMar>
              <w:top w:w="80" w:type="dxa"/>
              <w:bottom w:w="80" w:type="dxa"/>
              <w:left w:w="120" w:type="dxa"/>
              <w:right w:w="120" w:type="dxa"/>
            </w:tcMar>
          </w:tcPr>
          <w:p>
            <w:r>
              <w:rPr>
                <w:rFonts w:ascii="Calibri" w:hAnsi="Calibri"/>
                <w:b w:val="0"/>
                <w:i w:val="0"/>
                <w:color w:val="2D3748"/>
                <w:sz w:val="19"/>
              </w:rPr>
              <w:t>Names, SSN, email, phone number, passport, personal URLs, student IDs</w:t>
            </w:r>
          </w:p>
        </w:tc>
        <w:tc>
          <w:tcPr>
            <w:tcW w:type="dxa" w:w="2880"/>
            <w:shd w:fill="F7FAFC" w:val="clear"/>
            <w:tcMar>
              <w:top w:w="80" w:type="dxa"/>
              <w:bottom w:w="80" w:type="dxa"/>
              <w:left w:w="120" w:type="dxa"/>
              <w:right w:w="120" w:type="dxa"/>
            </w:tcMar>
          </w:tcPr>
          <w:p>
            <w:r>
              <w:rPr>
                <w:rFonts w:ascii="Calibri" w:hAnsi="Calibri"/>
                <w:b w:val="0"/>
                <w:i w:val="0"/>
                <w:color w:val="2D3748"/>
                <w:sz w:val="19"/>
              </w:rPr>
              <w:t>Complete removal, nullification, or strong deterministic hashing with secret salt</w:t>
            </w:r>
          </w:p>
        </w:tc>
      </w:tr>
      <w:tr>
        <w:tc>
          <w:tcPr>
            <w:tcW w:type="dxa" w:w="2592"/>
            <w:shd w:fill="FFFFFF" w:val="clear"/>
            <w:tcMar>
              <w:top w:w="80" w:type="dxa"/>
              <w:bottom w:w="80" w:type="dxa"/>
              <w:left w:w="120" w:type="dxa"/>
              <w:right w:w="120" w:type="dxa"/>
            </w:tcMar>
          </w:tcPr>
          <w:p>
            <w:r>
              <w:rPr>
                <w:rFonts w:ascii="Calibri" w:hAnsi="Calibri"/>
                <w:b w:val="0"/>
                <w:i w:val="0"/>
                <w:color w:val="2D3748"/>
                <w:sz w:val="19"/>
              </w:rPr>
              <w:t>Quasi-Identifiers</w:t>
            </w:r>
          </w:p>
        </w:tc>
        <w:tc>
          <w:tcPr>
            <w:tcW w:type="dxa" w:w="3888"/>
            <w:shd w:fill="FFFFFF" w:val="clear"/>
            <w:tcMar>
              <w:top w:w="80" w:type="dxa"/>
              <w:bottom w:w="80" w:type="dxa"/>
              <w:left w:w="120" w:type="dxa"/>
              <w:right w:w="120" w:type="dxa"/>
            </w:tcMar>
          </w:tcPr>
          <w:p>
            <w:r>
              <w:rPr>
                <w:rFonts w:ascii="Calibri" w:hAnsi="Calibri"/>
                <w:b w:val="0"/>
                <w:i w:val="0"/>
                <w:color w:val="2D3748"/>
                <w:sz w:val="19"/>
              </w:rPr>
              <w:t>ZIP codes, exact birth dates, gender, broad geographic subdivisions</w:t>
            </w:r>
          </w:p>
        </w:tc>
        <w:tc>
          <w:tcPr>
            <w:tcW w:type="dxa" w:w="2880"/>
            <w:shd w:fill="FFFFFF" w:val="clear"/>
            <w:tcMar>
              <w:top w:w="80" w:type="dxa"/>
              <w:bottom w:w="80" w:type="dxa"/>
              <w:left w:w="120" w:type="dxa"/>
              <w:right w:w="120" w:type="dxa"/>
            </w:tcMar>
          </w:tcPr>
          <w:p>
            <w:r>
              <w:rPr>
                <w:rFonts w:ascii="Calibri" w:hAnsi="Calibri"/>
                <w:b w:val="0"/>
                <w:i w:val="0"/>
                <w:color w:val="2D3748"/>
                <w:sz w:val="19"/>
              </w:rPr>
              <w:t>Generalization (K-Anonymity ranges) or data randomization with type preservation</w:t>
            </w:r>
          </w:p>
        </w:tc>
      </w:tr>
      <w:tr>
        <w:tc>
          <w:tcPr>
            <w:tcW w:type="dxa" w:w="2592"/>
            <w:shd w:fill="F7FAFC" w:val="clear"/>
            <w:tcMar>
              <w:top w:w="80" w:type="dxa"/>
              <w:bottom w:w="80" w:type="dxa"/>
              <w:left w:w="120" w:type="dxa"/>
              <w:right w:w="120" w:type="dxa"/>
            </w:tcMar>
          </w:tcPr>
          <w:p>
            <w:r>
              <w:rPr>
                <w:rFonts w:ascii="Calibri" w:hAnsi="Calibri"/>
                <w:b w:val="0"/>
                <w:i w:val="0"/>
                <w:color w:val="2D3748"/>
                <w:sz w:val="19"/>
              </w:rPr>
              <w:t>Sensitive Attributes</w:t>
            </w:r>
          </w:p>
        </w:tc>
        <w:tc>
          <w:tcPr>
            <w:tcW w:type="dxa" w:w="3888"/>
            <w:shd w:fill="F7FAFC" w:val="clear"/>
            <w:tcMar>
              <w:top w:w="80" w:type="dxa"/>
              <w:bottom w:w="80" w:type="dxa"/>
              <w:left w:w="120" w:type="dxa"/>
              <w:right w:w="120" w:type="dxa"/>
            </w:tcMar>
          </w:tcPr>
          <w:p>
            <w:r>
              <w:rPr>
                <w:rFonts w:ascii="Calibri" w:hAnsi="Calibri"/>
                <w:b w:val="0"/>
                <w:i w:val="0"/>
                <w:color w:val="2D3748"/>
                <w:sz w:val="19"/>
              </w:rPr>
              <w:t>Medical records, salary, credit card primary account numbers, financial data</w:t>
            </w:r>
          </w:p>
        </w:tc>
        <w:tc>
          <w:tcPr>
            <w:tcW w:type="dxa" w:w="2880"/>
            <w:shd w:fill="F7FAFC" w:val="clear"/>
            <w:tcMar>
              <w:top w:w="80" w:type="dxa"/>
              <w:bottom w:w="80" w:type="dxa"/>
              <w:left w:w="120" w:type="dxa"/>
              <w:right w:w="120" w:type="dxa"/>
            </w:tcMar>
          </w:tcPr>
          <w:p>
            <w:r>
              <w:rPr>
                <w:rFonts w:ascii="Calibri" w:hAnsi="Calibri"/>
                <w:b w:val="0"/>
                <w:i w:val="0"/>
                <w:color w:val="2D3748"/>
                <w:sz w:val="19"/>
              </w:rPr>
              <w:t>Column-level encryption, tokenization, or replacement with synthetic data</w:t>
            </w:r>
          </w:p>
        </w:tc>
      </w:tr>
      <w:tr>
        <w:tc>
          <w:tcPr>
            <w:tcW w:type="dxa" w:w="2592"/>
            <w:shd w:fill="FFFFFF" w:val="clear"/>
            <w:tcMar>
              <w:top w:w="80" w:type="dxa"/>
              <w:bottom w:w="80" w:type="dxa"/>
              <w:left w:w="120" w:type="dxa"/>
              <w:right w:w="120" w:type="dxa"/>
            </w:tcMar>
          </w:tcPr>
          <w:p>
            <w:r>
              <w:rPr>
                <w:rFonts w:ascii="Calibri" w:hAnsi="Calibri"/>
                <w:b w:val="0"/>
                <w:i w:val="0"/>
                <w:color w:val="2D3748"/>
                <w:sz w:val="19"/>
              </w:rPr>
              <w:t>Non-Sensitive</w:t>
            </w:r>
          </w:p>
        </w:tc>
        <w:tc>
          <w:tcPr>
            <w:tcW w:type="dxa" w:w="3888"/>
            <w:shd w:fill="FFFFFF" w:val="clear"/>
            <w:tcMar>
              <w:top w:w="80" w:type="dxa"/>
              <w:bottom w:w="80" w:type="dxa"/>
              <w:left w:w="120" w:type="dxa"/>
              <w:right w:w="120" w:type="dxa"/>
            </w:tcMar>
          </w:tcPr>
          <w:p>
            <w:r>
              <w:rPr>
                <w:rFonts w:ascii="Calibri" w:hAnsi="Calibri"/>
                <w:b w:val="0"/>
                <w:i w:val="0"/>
                <w:color w:val="2D3748"/>
                <w:sz w:val="19"/>
              </w:rPr>
              <w:t>Product classifications, generalized timestamps, regional metadata</w:t>
            </w:r>
          </w:p>
        </w:tc>
        <w:tc>
          <w:tcPr>
            <w:tcW w:type="dxa" w:w="2880"/>
            <w:shd w:fill="FFFFFF" w:val="clear"/>
            <w:tcMar>
              <w:top w:w="80" w:type="dxa"/>
              <w:bottom w:w="80" w:type="dxa"/>
              <w:left w:w="120" w:type="dxa"/>
              <w:right w:w="120" w:type="dxa"/>
            </w:tcMar>
          </w:tcPr>
          <w:p>
            <w:r>
              <w:rPr>
                <w:rFonts w:ascii="Calibri" w:hAnsi="Calibri"/>
                <w:b w:val="0"/>
                <w:i w:val="0"/>
                <w:color w:val="2D3748"/>
                <w:sz w:val="19"/>
              </w:rPr>
              <w:t>No de-identification required; retain for aggregate analytical dimensions</w:t>
            </w:r>
          </w:p>
        </w:tc>
      </w:tr>
    </w:tbl>
    <w:p>
      <w:pPr>
        <w:spacing w:before="160"/>
      </w:pPr>
    </w:p>
    <w:p>
      <w:pPr>
        <w:keepNext/>
        <w:spacing w:before="320" w:after="120"/>
      </w:pPr>
      <w:r>
        <w:rPr>
          <w:rFonts w:ascii="Calibri Light" w:hAnsi="Calibri Light"/>
          <w:b/>
          <w:i w:val="0"/>
          <w:color w:val="319795"/>
          <w:sz w:val="28"/>
        </w:rPr>
        <w:t>Discovery &amp; Identification Checklist by Technology</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Python Presidio Analyzer: </w:t>
      </w:r>
      <w:r>
        <w:rPr>
          <w:rFonts w:ascii="Calibri" w:hAnsi="Calibri"/>
          <w:b w:val="0"/>
          <w:i w:val="0"/>
          <w:color w:val="2D3748"/>
          <w:sz w:val="22"/>
        </w:rPr>
        <w:t>For unstructured textual datasets (e.g., student essays, text feedback). Run Microsoft Presidio AnalyzerEngine to identify person names, email addresses, phone numbers, and URLs. Utilize its Named Entity Recognition (NER) ML models and regex components to export detailed decision processes and confidence scores (Jethwa, 2021).</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Python sanityze Cleanser: </w:t>
      </w:r>
      <w:r>
        <w:rPr>
          <w:rFonts w:ascii="Calibri" w:hAnsi="Calibri"/>
          <w:b w:val="0"/>
          <w:i w:val="0"/>
          <w:color w:val="2D3748"/>
          <w:sz w:val="22"/>
        </w:rPr>
        <w:t>For tabular Pandas dataframes. Initialize a Cleanser instance, register target spotters (e.g., EmailSpotter, CreditCardSpotter), and run the clean() method to programmatically catch database PII before serialization (Wong et al., 2023).</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SQL Database Metadata Queries: </w:t>
      </w:r>
      <w:r>
        <w:rPr>
          <w:rFonts w:ascii="Calibri" w:hAnsi="Calibri"/>
          <w:b w:val="0"/>
          <w:i w:val="0"/>
          <w:color w:val="2D3748"/>
          <w:sz w:val="22"/>
        </w:rPr>
        <w:t>Query the database information schema (e.g., INFORMATION_SCHEMA.COLUMNS in MySQL or Postgres) to search for sensitive column names (e.g., matching '%email%', '%phone%', '%ssn%', '%address%') and compile a Master PII Dictionary (Walker, 2020;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Excel &amp; Google Sheets Audit: </w:t>
      </w:r>
      <w:r>
        <w:rPr>
          <w:rFonts w:ascii="Calibri" w:hAnsi="Calibri"/>
          <w:b w:val="0"/>
          <w:i w:val="0"/>
          <w:color w:val="2D3748"/>
          <w:sz w:val="22"/>
        </w:rPr>
        <w:t>Utilize column filters, text-search wildcards, or conditional formatting to highlight columns containing common string patterns like '@', credit card formats, or numeric sequences matching standard telephone or SSN templates.</w:t>
      </w:r>
    </w:p>
    <w:p>
      <w:pPr>
        <w:keepNext/>
        <w:spacing w:before="320" w:after="120"/>
      </w:pPr>
      <w:r>
        <w:rPr>
          <w:rFonts w:ascii="Calibri Light" w:hAnsi="Calibri Light"/>
          <w:b/>
          <w:i w:val="0"/>
          <w:color w:val="2C5282"/>
          <w:sz w:val="36"/>
        </w:rPr>
        <w:t>Phase 2: Architecture &amp; Staging Environments</w:t>
      </w:r>
    </w:p>
    <w:p>
      <w:pPr>
        <w:spacing w:before="0" w:after="120" w:line="276" w:lineRule="auto"/>
        <w:jc w:val="left"/>
      </w:pPr>
      <w:r>
        <w:rPr>
          <w:rFonts w:ascii="Calibri" w:hAnsi="Calibri"/>
          <w:b w:val="0"/>
          <w:i w:val="0"/>
          <w:color w:val="2D3748"/>
          <w:sz w:val="22"/>
        </w:rPr>
        <w:t>A foundational failure in data cleaning is executing de-identification logic directly on live systems. To protect database integrity and guarantee confidentiality, a structured architectural workflow must be established across all software layers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Enforce Strict Staging Copy Policy: </w:t>
      </w:r>
      <w:r>
        <w:rPr>
          <w:rFonts w:ascii="Calibri" w:hAnsi="Calibri"/>
          <w:b w:val="0"/>
          <w:i w:val="0"/>
          <w:color w:val="2D3748"/>
          <w:sz w:val="22"/>
        </w:rPr>
        <w:t>Never run anonymization scripts on production databases. Always replicate production data to an isolated staging environment first. For SQL databases, replicate tables using structured syntax (e.g., CREATE TABLE users_anonymized LIKE users; INSERT INTO users_anonymized SELECT * FROM users;) and apply transformations only on the staging tables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Manage Foreign Key Constraints and Order of Operations: </w:t>
      </w:r>
      <w:r>
        <w:rPr>
          <w:rFonts w:ascii="Calibri" w:hAnsi="Calibri"/>
          <w:b w:val="0"/>
          <w:i w:val="0"/>
          <w:color w:val="2D3748"/>
          <w:sz w:val="22"/>
        </w:rPr>
        <w:t>Understand column relationships before deleting or altering fields. Parent tables must be processed before child tables. In relational databases (MySQL, Postgres), temporarily disable foreign key checks (e.g., SET FOREIGN_KEY_CHECKS = 0;), execute matching deterministic hashes across linked tables, and then re-enable constraints (SET FOREIGN_KEY_CHECKS = 1;) to preserve referential integrity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Isolate File-Based Source Formats: </w:t>
      </w:r>
      <w:r>
        <w:rPr>
          <w:rFonts w:ascii="Calibri" w:hAnsi="Calibri"/>
          <w:b w:val="0"/>
          <w:i w:val="0"/>
          <w:color w:val="2D3748"/>
          <w:sz w:val="22"/>
        </w:rPr>
        <w:t>When importing files from proprietary statistical software (SPSS .sav, Stata .dta, SAS .sas7bdat), copy the raw files to a read-only local or remote storage folder (e.g., '/workspace/knowledge/'). Build Python basic descriptive scripts (using pyreadstat or pyreadr) to load, clean, and write anonymized dataframes to a separate clean folder, leaving raw files completely untouched (Walker, 2020).</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Incorporate Anonymization in Automated Pipelines: </w:t>
      </w:r>
      <w:r>
        <w:rPr>
          <w:rFonts w:ascii="Calibri" w:hAnsi="Calibri"/>
          <w:b w:val="0"/>
          <w:i w:val="0"/>
          <w:color w:val="2D3748"/>
          <w:sz w:val="22"/>
        </w:rPr>
        <w:t>For continuous enterprise systems, integrate de-identification directly into your Extract-Transform-Load (ETL) pipelines. Use orchestrators like Apache Airflow to schedule jobs, data build tools (dbt) to version-control SQL transformations, and custom Python modules to sanitize incoming streams before loading them into analytical warehouses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Address Backups, Transaction Logs, and Error Logs: </w:t>
      </w:r>
      <w:r>
        <w:rPr>
          <w:rFonts w:ascii="Calibri" w:hAnsi="Calibri"/>
          <w:b w:val="0"/>
          <w:i w:val="0"/>
          <w:color w:val="2D3748"/>
          <w:sz w:val="22"/>
        </w:rPr>
        <w:t>De-identifying active databases is useless if historical backups and transaction logs retain raw PII. Formulate a retention policy to delete or clean legacy backups, and configure web/app servers to redact PII from error logs (Codex, 2024).</w:t>
      </w:r>
    </w:p>
    <w:p>
      <w:pPr>
        <w:keepNext/>
        <w:spacing w:before="320" w:after="120"/>
      </w:pPr>
      <w:r>
        <w:rPr>
          <w:rFonts w:ascii="Calibri Light" w:hAnsi="Calibri Light"/>
          <w:b/>
          <w:i w:val="0"/>
          <w:color w:val="2C5282"/>
          <w:sz w:val="36"/>
        </w:rPr>
        <w:t>Phase 3: Selecting &amp; Executing Anonymization Techniques</w:t>
      </w:r>
    </w:p>
    <w:p>
      <w:pPr>
        <w:spacing w:before="0" w:after="120" w:line="276" w:lineRule="auto"/>
        <w:jc w:val="left"/>
      </w:pPr>
      <w:r>
        <w:rPr>
          <w:rFonts w:ascii="Calibri" w:hAnsi="Calibri"/>
          <w:b w:val="0"/>
          <w:i w:val="0"/>
          <w:color w:val="2D3748"/>
          <w:sz w:val="22"/>
        </w:rPr>
        <w:t>De-identification requires choosing an appropriate mathematical or computational transformation. The choice depends on the specific analysis being performed: testing environments might require highly randomized, synthetic data, whereas advanced bivariate regression modeling requires preserving exact statistical correlations and categorical groupings (Walker, 2020; Codex, 2024).</w:t>
      </w:r>
    </w:p>
    <w:p>
      <w:pPr>
        <w:keepNext/>
        <w:spacing w:before="320" w:after="120"/>
      </w:pPr>
      <w:r>
        <w:rPr>
          <w:rFonts w:ascii="Calibri Light" w:hAnsi="Calibri Light"/>
          <w:b/>
          <w:i w:val="0"/>
          <w:color w:val="319795"/>
          <w:sz w:val="28"/>
        </w:rPr>
        <w:t>Core Anonymization Techniques Directory</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Complete Removal / Redaction: </w:t>
      </w:r>
      <w:r>
        <w:rPr>
          <w:rFonts w:ascii="Calibri" w:hAnsi="Calibri"/>
          <w:b w:val="0"/>
          <w:i w:val="0"/>
          <w:color w:val="2D3748"/>
          <w:sz w:val="22"/>
        </w:rPr>
        <w:t>Wipe out highly sensitive fields completely. In databases, update the values to NULL. In Pandas or R dataframes, replace strings with NaN or drop the columns. This completely eliminates leakage risk for non-critical fields (Walker, 2020;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Data Masking with Pattern Preservation: </w:t>
      </w:r>
      <w:r>
        <w:rPr>
          <w:rFonts w:ascii="Calibri" w:hAnsi="Calibri"/>
          <w:b w:val="0"/>
          <w:i w:val="0"/>
          <w:color w:val="2D3748"/>
          <w:sz w:val="22"/>
        </w:rPr>
        <w:t>Replace sensitive characters while maintaining formatting. For example, replace characters in phone numbers except for the area code and trailing digits (e.g., '555-XXX-1234') or mask emails while preserving domain names (e.g., CONCAT('user_', id, '@', SUBSTRING_INDEX(email, '@', -1))) to preserve formatting checks in staging apps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Deterministic Hashing: </w:t>
      </w:r>
      <w:r>
        <w:rPr>
          <w:rFonts w:ascii="Calibri" w:hAnsi="Calibri"/>
          <w:b w:val="0"/>
          <w:i w:val="0"/>
          <w:color w:val="2D3748"/>
          <w:sz w:val="22"/>
        </w:rPr>
        <w:t>Maintain referential integrity across relational joins. Generate a cryptographic hash of the identifier. Always use SHA-256 (MD5 is deprecated due to high collision risks) and append a strong secret salt (e.g., SHA2(CONCAT(email, 'secret-salt'), 256)) to prevent rainbow table brute-force attacks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Randomization with Type Preservation: </w:t>
      </w:r>
      <w:r>
        <w:rPr>
          <w:rFonts w:ascii="Calibri" w:hAnsi="Calibri"/>
          <w:b w:val="0"/>
          <w:i w:val="0"/>
          <w:color w:val="2D3748"/>
          <w:sz w:val="22"/>
        </w:rPr>
        <w:t>Generate realistic pseudorandom numbers within realistic bounds. For example, randomize employee birth dates within a plausible 50-year range, or salaries within departmental limits (using random offsets) to break linkability to actual people while preserving aggregate distributions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Generalization (K-Anonymity): </w:t>
      </w:r>
      <w:r>
        <w:rPr>
          <w:rFonts w:ascii="Calibri" w:hAnsi="Calibri"/>
          <w:b w:val="0"/>
          <w:i w:val="0"/>
          <w:color w:val="2D3748"/>
          <w:sz w:val="22"/>
        </w:rPr>
        <w:t>Suppress extreme individual uniqueness. Recode precise numeric attributes into ordinal categories. Group ages into ranges (e.g., '18-25', '26-35') or aggregate ZIP codes (e.g., retaining only the first three digits) to ensure that any individual cannot be distinguished from at least k-1 other individuals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Differential Privacy via Controlled Noise Addition: </w:t>
      </w:r>
      <w:r>
        <w:rPr>
          <w:rFonts w:ascii="Calibri" w:hAnsi="Calibri"/>
          <w:b w:val="0"/>
          <w:i w:val="0"/>
          <w:color w:val="2D3748"/>
          <w:sz w:val="22"/>
        </w:rPr>
        <w:t>To protect statistical datasets from reconstruction attacks, add Gaussian or laplacian noise to numerical columns (e.g., adding a random variation to salary data). This preserves overall mean, standard deviation, and distributions while masking individual records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Synthetic Data Generation: </w:t>
      </w:r>
      <w:r>
        <w:rPr>
          <w:rFonts w:ascii="Calibri" w:hAnsi="Calibri"/>
          <w:b w:val="0"/>
          <w:i w:val="0"/>
          <w:color w:val="2D3748"/>
          <w:sz w:val="22"/>
        </w:rPr>
        <w:t>Construct entirely mock databases. Use database stored procedures or Python Faker libraries to generate realistic names, addresses, and transaction histories from predefined distributions, ensuring zero leakage of real user data (Jethwa, 2021; Codex, 2024).</w:t>
      </w:r>
    </w:p>
    <w:p>
      <w:pPr>
        <w:keepNext/>
        <w:spacing w:before="320" w:after="120"/>
      </w:pPr>
      <w:r>
        <w:rPr>
          <w:rFonts w:ascii="Calibri Light" w:hAnsi="Calibri Light"/>
          <w:b/>
          <w:i w:val="0"/>
          <w:color w:val="319795"/>
          <w:sz w:val="28"/>
        </w:rPr>
        <w:t>De-Identification Implementation Reference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319795" w:val="clear"/>
            <w:tcMar>
              <w:top w:w="100" w:type="dxa"/>
              <w:bottom w:w="100" w:type="dxa"/>
              <w:left w:w="120" w:type="dxa"/>
              <w:right w:w="120" w:type="dxa"/>
            </w:tcMar>
          </w:tcPr>
          <w:p>
            <w:pPr>
              <w:jc w:val="center"/>
            </w:pPr>
            <w:r>
              <w:rPr>
                <w:rFonts w:ascii="Calibri Light" w:hAnsi="Calibri Light"/>
                <w:b/>
                <w:i w:val="0"/>
                <w:color w:val="FFFFFF"/>
                <w:sz w:val="19"/>
              </w:rPr>
              <w:t>Technique</w:t>
            </w:r>
          </w:p>
        </w:tc>
        <w:tc>
          <w:tcPr>
            <w:tcW w:type="dxa" w:w="2160"/>
            <w:shd w:fill="319795" w:val="clear"/>
            <w:tcMar>
              <w:top w:w="100" w:type="dxa"/>
              <w:bottom w:w="100" w:type="dxa"/>
              <w:left w:w="120" w:type="dxa"/>
              <w:right w:w="120" w:type="dxa"/>
            </w:tcMar>
          </w:tcPr>
          <w:p>
            <w:pPr>
              <w:jc w:val="center"/>
            </w:pPr>
            <w:r>
              <w:rPr>
                <w:rFonts w:ascii="Calibri Light" w:hAnsi="Calibri Light"/>
                <w:b/>
                <w:i w:val="0"/>
                <w:color w:val="FFFFFF"/>
                <w:sz w:val="19"/>
              </w:rPr>
              <w:t>SQL (MySQL/Postgres)</w:t>
            </w:r>
          </w:p>
        </w:tc>
        <w:tc>
          <w:tcPr>
            <w:tcW w:type="dxa" w:w="2160"/>
            <w:shd w:fill="319795" w:val="clear"/>
            <w:tcMar>
              <w:top w:w="100" w:type="dxa"/>
              <w:bottom w:w="100" w:type="dxa"/>
              <w:left w:w="120" w:type="dxa"/>
              <w:right w:w="120" w:type="dxa"/>
            </w:tcMar>
          </w:tcPr>
          <w:p>
            <w:pPr>
              <w:jc w:val="center"/>
            </w:pPr>
            <w:r>
              <w:rPr>
                <w:rFonts w:ascii="Calibri Light" w:hAnsi="Calibri Light"/>
                <w:b/>
                <w:i w:val="0"/>
                <w:color w:val="FFFFFF"/>
                <w:sz w:val="19"/>
              </w:rPr>
              <w:t>Python (Pandas/Presidio)</w:t>
            </w:r>
          </w:p>
        </w:tc>
        <w:tc>
          <w:tcPr>
            <w:tcW w:type="dxa" w:w="1584"/>
            <w:shd w:fill="319795" w:val="clear"/>
            <w:tcMar>
              <w:top w:w="100" w:type="dxa"/>
              <w:bottom w:w="100" w:type="dxa"/>
              <w:left w:w="120" w:type="dxa"/>
              <w:right w:w="120" w:type="dxa"/>
            </w:tcMar>
          </w:tcPr>
          <w:p>
            <w:pPr>
              <w:jc w:val="center"/>
            </w:pPr>
            <w:r>
              <w:rPr>
                <w:rFonts w:ascii="Calibri Light" w:hAnsi="Calibri Light"/>
                <w:b/>
                <w:i w:val="0"/>
                <w:color w:val="FFFFFF"/>
                <w:sz w:val="19"/>
              </w:rPr>
              <w:t>R Code</w:t>
            </w:r>
          </w:p>
        </w:tc>
        <w:tc>
          <w:tcPr>
            <w:tcW w:type="dxa" w:w="1728"/>
            <w:shd w:fill="319795" w:val="clear"/>
            <w:tcMar>
              <w:top w:w="100" w:type="dxa"/>
              <w:bottom w:w="100" w:type="dxa"/>
              <w:left w:w="120" w:type="dxa"/>
              <w:right w:w="120" w:type="dxa"/>
            </w:tcMar>
          </w:tcPr>
          <w:p>
            <w:pPr>
              <w:jc w:val="center"/>
            </w:pPr>
            <w:r>
              <w:rPr>
                <w:rFonts w:ascii="Calibri Light" w:hAnsi="Calibri Light"/>
                <w:b/>
                <w:i w:val="0"/>
                <w:color w:val="FFFFFF"/>
                <w:sz w:val="19"/>
              </w:rPr>
              <w:t>Excel / Google Sheets</w:t>
            </w:r>
          </w:p>
        </w:tc>
      </w:tr>
      <w:tr>
        <w:tc>
          <w:tcPr>
            <w:tcW w:type="dxa" w:w="1728"/>
            <w:shd w:fill="F7FAFC" w:val="clear"/>
            <w:tcMar>
              <w:top w:w="80" w:type="dxa"/>
              <w:bottom w:w="80" w:type="dxa"/>
              <w:left w:w="100" w:type="dxa"/>
              <w:right w:w="100" w:type="dxa"/>
            </w:tcMar>
          </w:tcPr>
          <w:p>
            <w:r>
              <w:rPr>
                <w:rFonts w:ascii="Calibri" w:hAnsi="Calibri"/>
                <w:b w:val="0"/>
                <w:i w:val="0"/>
                <w:color w:val="2D3748"/>
                <w:sz w:val="17"/>
              </w:rPr>
              <w:t>Removal</w:t>
            </w:r>
          </w:p>
        </w:tc>
        <w:tc>
          <w:tcPr>
            <w:tcW w:type="dxa" w:w="2160"/>
            <w:shd w:fill="F7FAFC" w:val="clear"/>
            <w:tcMar>
              <w:top w:w="80" w:type="dxa"/>
              <w:bottom w:w="80" w:type="dxa"/>
              <w:left w:w="100" w:type="dxa"/>
              <w:right w:w="100" w:type="dxa"/>
            </w:tcMar>
          </w:tcPr>
          <w:p>
            <w:r>
              <w:rPr>
                <w:rFonts w:ascii="Courier New" w:hAnsi="Courier New"/>
                <w:b w:val="0"/>
                <w:i w:val="0"/>
                <w:color w:val="2D3748"/>
                <w:sz w:val="15"/>
              </w:rPr>
              <w:t>UPDATE users SET ssn = NULL, phone = NULL;</w:t>
            </w:r>
          </w:p>
        </w:tc>
        <w:tc>
          <w:tcPr>
            <w:tcW w:type="dxa" w:w="2160"/>
            <w:shd w:fill="F7FAFC" w:val="clear"/>
            <w:tcMar>
              <w:top w:w="80" w:type="dxa"/>
              <w:bottom w:w="80" w:type="dxa"/>
              <w:left w:w="100" w:type="dxa"/>
              <w:right w:w="100" w:type="dxa"/>
            </w:tcMar>
          </w:tcPr>
          <w:p>
            <w:r>
              <w:rPr>
                <w:rFonts w:ascii="Courier New" w:hAnsi="Courier New"/>
                <w:b w:val="0"/>
                <w:i w:val="0"/>
                <w:color w:val="2D3748"/>
                <w:sz w:val="15"/>
              </w:rPr>
              <w:t>df.drop(columns=['ssn', 'phone'], inplace=True)</w:t>
            </w:r>
          </w:p>
        </w:tc>
        <w:tc>
          <w:tcPr>
            <w:tcW w:type="dxa" w:w="1584"/>
            <w:shd w:fill="F7FAFC" w:val="clear"/>
            <w:tcMar>
              <w:top w:w="80" w:type="dxa"/>
              <w:bottom w:w="80" w:type="dxa"/>
              <w:left w:w="100" w:type="dxa"/>
              <w:right w:w="100" w:type="dxa"/>
            </w:tcMar>
          </w:tcPr>
          <w:p>
            <w:r>
              <w:rPr>
                <w:rFonts w:ascii="Courier New" w:hAnsi="Courier New"/>
                <w:b w:val="0"/>
                <w:i w:val="0"/>
                <w:color w:val="2D3748"/>
                <w:sz w:val="15"/>
              </w:rPr>
              <w:t>df$ssn &lt;- NULL</w:t>
              <w:br/>
              <w:t>df$phone &lt;- NULL</w:t>
            </w:r>
          </w:p>
        </w:tc>
        <w:tc>
          <w:tcPr>
            <w:tcW w:type="dxa" w:w="1728"/>
            <w:shd w:fill="F7FAFC" w:val="clear"/>
            <w:tcMar>
              <w:top w:w="80" w:type="dxa"/>
              <w:bottom w:w="80" w:type="dxa"/>
              <w:left w:w="100" w:type="dxa"/>
              <w:right w:w="100" w:type="dxa"/>
            </w:tcMar>
          </w:tcPr>
          <w:p>
            <w:r>
              <w:rPr>
                <w:rFonts w:ascii="Calibri" w:hAnsi="Calibri"/>
                <w:b w:val="0"/>
                <w:i w:val="0"/>
                <w:color w:val="2D3748"/>
                <w:sz w:val="17"/>
              </w:rPr>
              <w:t>Delete columns or overwrite with blank values.</w:t>
            </w:r>
          </w:p>
        </w:tc>
      </w:tr>
      <w:tr>
        <w:tc>
          <w:tcPr>
            <w:tcW w:type="dxa" w:w="1728"/>
            <w:shd w:fill="FFFFFF" w:val="clear"/>
            <w:tcMar>
              <w:top w:w="80" w:type="dxa"/>
              <w:bottom w:w="80" w:type="dxa"/>
              <w:left w:w="100" w:type="dxa"/>
              <w:right w:w="100" w:type="dxa"/>
            </w:tcMar>
          </w:tcPr>
          <w:p>
            <w:r>
              <w:rPr>
                <w:rFonts w:ascii="Calibri" w:hAnsi="Calibri"/>
                <w:b w:val="0"/>
                <w:i w:val="0"/>
                <w:color w:val="2D3748"/>
                <w:sz w:val="17"/>
              </w:rPr>
              <w:t>Pattern Masking</w:t>
            </w:r>
          </w:p>
        </w:tc>
        <w:tc>
          <w:tcPr>
            <w:tcW w:type="dxa" w:w="2160"/>
            <w:shd w:fill="FFFFFF" w:val="clear"/>
            <w:tcMar>
              <w:top w:w="80" w:type="dxa"/>
              <w:bottom w:w="80" w:type="dxa"/>
              <w:left w:w="100" w:type="dxa"/>
              <w:right w:w="100" w:type="dxa"/>
            </w:tcMar>
          </w:tcPr>
          <w:p>
            <w:r>
              <w:rPr>
                <w:rFonts w:ascii="Courier New" w:hAnsi="Courier New"/>
                <w:b w:val="0"/>
                <w:i w:val="0"/>
                <w:color w:val="2D3748"/>
                <w:sz w:val="15"/>
              </w:rPr>
              <w:t>UPDATE users SET email = CONCAT('user_', id, '@', SUBSTRING_INDEX(email, '@', -1));</w:t>
            </w:r>
          </w:p>
        </w:tc>
        <w:tc>
          <w:tcPr>
            <w:tcW w:type="dxa" w:w="2160"/>
            <w:shd w:fill="FFFFFF" w:val="clear"/>
            <w:tcMar>
              <w:top w:w="80" w:type="dxa"/>
              <w:bottom w:w="80" w:type="dxa"/>
              <w:left w:w="100" w:type="dxa"/>
              <w:right w:w="100" w:type="dxa"/>
            </w:tcMar>
          </w:tcPr>
          <w:p>
            <w:r>
              <w:rPr>
                <w:rFonts w:ascii="Courier New" w:hAnsi="Courier New"/>
                <w:b w:val="0"/>
                <w:i w:val="0"/>
                <w:color w:val="2D3748"/>
                <w:sz w:val="15"/>
              </w:rPr>
              <w:t>df['email'] = df['email'].str.replace(r'.*@', 'user_@', regex=True)</w:t>
            </w:r>
          </w:p>
        </w:tc>
        <w:tc>
          <w:tcPr>
            <w:tcW w:type="dxa" w:w="1584"/>
            <w:shd w:fill="FFFFFF" w:val="clear"/>
            <w:tcMar>
              <w:top w:w="80" w:type="dxa"/>
              <w:bottom w:w="80" w:type="dxa"/>
              <w:left w:w="100" w:type="dxa"/>
              <w:right w:w="100" w:type="dxa"/>
            </w:tcMar>
          </w:tcPr>
          <w:p>
            <w:r>
              <w:rPr>
                <w:rFonts w:ascii="Courier New" w:hAnsi="Courier New"/>
                <w:b w:val="0"/>
                <w:i w:val="0"/>
                <w:color w:val="2D3748"/>
                <w:sz w:val="15"/>
              </w:rPr>
              <w:t>df$email &lt;- gsub('.*@', 'user_@', df$email)</w:t>
            </w:r>
          </w:p>
        </w:tc>
        <w:tc>
          <w:tcPr>
            <w:tcW w:type="dxa" w:w="1728"/>
            <w:shd w:fill="FFFFFF" w:val="clear"/>
            <w:tcMar>
              <w:top w:w="80" w:type="dxa"/>
              <w:bottom w:w="80" w:type="dxa"/>
              <w:left w:w="100" w:type="dxa"/>
              <w:right w:w="100" w:type="dxa"/>
            </w:tcMar>
          </w:tcPr>
          <w:p>
            <w:r>
              <w:rPr>
                <w:rFonts w:ascii="Calibri" w:hAnsi="Calibri"/>
                <w:b w:val="0"/>
                <w:i w:val="0"/>
                <w:color w:val="2D3748"/>
                <w:sz w:val="17"/>
              </w:rPr>
              <w:t>Use nested formulas:</w:t>
              <w:br/>
              <w:t>=LEFT(A2,1)&amp;"***@domain.com"</w:t>
            </w:r>
          </w:p>
        </w:tc>
      </w:tr>
      <w:tr>
        <w:tc>
          <w:tcPr>
            <w:tcW w:type="dxa" w:w="1728"/>
            <w:shd w:fill="F7FAFC" w:val="clear"/>
            <w:tcMar>
              <w:top w:w="80" w:type="dxa"/>
              <w:bottom w:w="80" w:type="dxa"/>
              <w:left w:w="100" w:type="dxa"/>
              <w:right w:w="100" w:type="dxa"/>
            </w:tcMar>
          </w:tcPr>
          <w:p>
            <w:r>
              <w:rPr>
                <w:rFonts w:ascii="Calibri" w:hAnsi="Calibri"/>
                <w:b w:val="0"/>
                <w:i w:val="0"/>
                <w:color w:val="2D3748"/>
                <w:sz w:val="17"/>
              </w:rPr>
              <w:t>Deterministic Hashing</w:t>
            </w:r>
          </w:p>
        </w:tc>
        <w:tc>
          <w:tcPr>
            <w:tcW w:type="dxa" w:w="2160"/>
            <w:shd w:fill="F7FAFC" w:val="clear"/>
            <w:tcMar>
              <w:top w:w="80" w:type="dxa"/>
              <w:bottom w:w="80" w:type="dxa"/>
              <w:left w:w="100" w:type="dxa"/>
              <w:right w:w="100" w:type="dxa"/>
            </w:tcMar>
          </w:tcPr>
          <w:p>
            <w:r>
              <w:rPr>
                <w:rFonts w:ascii="Courier New" w:hAnsi="Courier New"/>
                <w:b w:val="0"/>
                <w:i w:val="0"/>
                <w:color w:val="2D3748"/>
                <w:sz w:val="15"/>
              </w:rPr>
              <w:t>UPDATE users SET email_hash = SHA2(CONCAT(email, 'salt'), 256), email = NULL;</w:t>
            </w:r>
          </w:p>
        </w:tc>
        <w:tc>
          <w:tcPr>
            <w:tcW w:type="dxa" w:w="2160"/>
            <w:shd w:fill="F7FAFC" w:val="clear"/>
            <w:tcMar>
              <w:top w:w="80" w:type="dxa"/>
              <w:bottom w:w="80" w:type="dxa"/>
              <w:left w:w="100" w:type="dxa"/>
              <w:right w:w="100" w:type="dxa"/>
            </w:tcMar>
          </w:tcPr>
          <w:p>
            <w:r>
              <w:rPr>
                <w:rFonts w:ascii="Courier New" w:hAnsi="Courier New"/>
                <w:b w:val="0"/>
                <w:i w:val="0"/>
                <w:color w:val="2D3748"/>
                <w:sz w:val="15"/>
              </w:rPr>
              <w:t>import hashlib</w:t>
              <w:br/>
              <w:t>df['email_hash'] = df['email'].apply(lambda x: hashlib.sha256((x+'salt').encode()).hexdigest())</w:t>
            </w:r>
          </w:p>
        </w:tc>
        <w:tc>
          <w:tcPr>
            <w:tcW w:type="dxa" w:w="1584"/>
            <w:shd w:fill="F7FAFC" w:val="clear"/>
            <w:tcMar>
              <w:top w:w="80" w:type="dxa"/>
              <w:bottom w:w="80" w:type="dxa"/>
              <w:left w:w="100" w:type="dxa"/>
              <w:right w:w="100" w:type="dxa"/>
            </w:tcMar>
          </w:tcPr>
          <w:p>
            <w:r>
              <w:rPr>
                <w:rFonts w:ascii="Courier New" w:hAnsi="Courier New"/>
                <w:b w:val="0"/>
                <w:i w:val="0"/>
                <w:color w:val="2D3748"/>
                <w:sz w:val="15"/>
              </w:rPr>
              <w:t>library(digest)</w:t>
              <w:br/>
              <w:t>df$email_hash &lt;- sapply(df$email, function(x) digest(paste0(x, 'salt'), 'sha256'))</w:t>
            </w:r>
          </w:p>
        </w:tc>
        <w:tc>
          <w:tcPr>
            <w:tcW w:type="dxa" w:w="1728"/>
            <w:shd w:fill="F7FAFC" w:val="clear"/>
            <w:tcMar>
              <w:top w:w="80" w:type="dxa"/>
              <w:bottom w:w="80" w:type="dxa"/>
              <w:left w:w="100" w:type="dxa"/>
              <w:right w:w="100" w:type="dxa"/>
            </w:tcMar>
          </w:tcPr>
          <w:p>
            <w:r>
              <w:rPr>
                <w:rFonts w:ascii="Calibri" w:hAnsi="Calibri"/>
                <w:b w:val="0"/>
                <w:i w:val="0"/>
                <w:color w:val="2D3748"/>
                <w:sz w:val="17"/>
              </w:rPr>
              <w:t>Not native; requires custom VBA macro or Google Apps Script hashing.</w:t>
            </w:r>
          </w:p>
        </w:tc>
      </w:tr>
      <w:tr>
        <w:tc>
          <w:tcPr>
            <w:tcW w:type="dxa" w:w="1728"/>
            <w:shd w:fill="FFFFFF" w:val="clear"/>
            <w:tcMar>
              <w:top w:w="80" w:type="dxa"/>
              <w:bottom w:w="80" w:type="dxa"/>
              <w:left w:w="100" w:type="dxa"/>
              <w:right w:w="100" w:type="dxa"/>
            </w:tcMar>
          </w:tcPr>
          <w:p>
            <w:r>
              <w:rPr>
                <w:rFonts w:ascii="Calibri" w:hAnsi="Calibri"/>
                <w:b w:val="0"/>
                <w:i w:val="0"/>
                <w:color w:val="2D3748"/>
                <w:sz w:val="17"/>
              </w:rPr>
              <w:t>Randomization</w:t>
            </w:r>
          </w:p>
        </w:tc>
        <w:tc>
          <w:tcPr>
            <w:tcW w:type="dxa" w:w="2160"/>
            <w:shd w:fill="FFFFFF" w:val="clear"/>
            <w:tcMar>
              <w:top w:w="80" w:type="dxa"/>
              <w:bottom w:w="80" w:type="dxa"/>
              <w:left w:w="100" w:type="dxa"/>
              <w:right w:w="100" w:type="dxa"/>
            </w:tcMar>
          </w:tcPr>
          <w:p>
            <w:r>
              <w:rPr>
                <w:rFonts w:ascii="Courier New" w:hAnsi="Courier New"/>
                <w:b w:val="0"/>
                <w:i w:val="0"/>
                <w:color w:val="2D3748"/>
                <w:sz w:val="15"/>
              </w:rPr>
              <w:t>UPDATE users SET birth_date = DATE_ADD('1950-01-01', INTERVAL FLOOR(RAND()*25550) DAY);</w:t>
            </w:r>
          </w:p>
        </w:tc>
        <w:tc>
          <w:tcPr>
            <w:tcW w:type="dxa" w:w="2160"/>
            <w:shd w:fill="FFFFFF" w:val="clear"/>
            <w:tcMar>
              <w:top w:w="80" w:type="dxa"/>
              <w:bottom w:w="80" w:type="dxa"/>
              <w:left w:w="100" w:type="dxa"/>
              <w:right w:w="100" w:type="dxa"/>
            </w:tcMar>
          </w:tcPr>
          <w:p>
            <w:r>
              <w:rPr>
                <w:rFonts w:ascii="Courier New" w:hAnsi="Courier New"/>
                <w:b w:val="0"/>
                <w:i w:val="0"/>
                <w:color w:val="2D3748"/>
                <w:sz w:val="15"/>
              </w:rPr>
              <w:t>df['salary'] = df['salary'] + np.random.normal(0, 1000, len(df))</w:t>
            </w:r>
          </w:p>
        </w:tc>
        <w:tc>
          <w:tcPr>
            <w:tcW w:type="dxa" w:w="1584"/>
            <w:shd w:fill="FFFFFF" w:val="clear"/>
            <w:tcMar>
              <w:top w:w="80" w:type="dxa"/>
              <w:bottom w:w="80" w:type="dxa"/>
              <w:left w:w="100" w:type="dxa"/>
              <w:right w:w="100" w:type="dxa"/>
            </w:tcMar>
          </w:tcPr>
          <w:p>
            <w:r>
              <w:rPr>
                <w:rFonts w:ascii="Courier New" w:hAnsi="Courier New"/>
                <w:b w:val="0"/>
                <w:i w:val="0"/>
                <w:color w:val="2D3748"/>
                <w:sz w:val="15"/>
              </w:rPr>
              <w:t>df$salary &lt;- df$salary + rnorm(nrow(df), 0, 1000)</w:t>
            </w:r>
          </w:p>
        </w:tc>
        <w:tc>
          <w:tcPr>
            <w:tcW w:type="dxa" w:w="1728"/>
            <w:shd w:fill="FFFFFF" w:val="clear"/>
            <w:tcMar>
              <w:top w:w="80" w:type="dxa"/>
              <w:bottom w:w="80" w:type="dxa"/>
              <w:left w:w="100" w:type="dxa"/>
              <w:right w:w="100" w:type="dxa"/>
            </w:tcMar>
          </w:tcPr>
          <w:p>
            <w:r>
              <w:rPr>
                <w:rFonts w:ascii="Calibri" w:hAnsi="Calibri"/>
                <w:b w:val="0"/>
                <w:i w:val="0"/>
                <w:color w:val="2D3748"/>
                <w:sz w:val="17"/>
              </w:rPr>
              <w:t>Add noise formula:</w:t>
              <w:br/>
              <w:t>=A2 + (RAND()-0.5)*1000</w:t>
            </w:r>
          </w:p>
        </w:tc>
      </w:tr>
      <w:tr>
        <w:tc>
          <w:tcPr>
            <w:tcW w:type="dxa" w:w="1728"/>
            <w:shd w:fill="F7FAFC" w:val="clear"/>
            <w:tcMar>
              <w:top w:w="80" w:type="dxa"/>
              <w:bottom w:w="80" w:type="dxa"/>
              <w:left w:w="100" w:type="dxa"/>
              <w:right w:w="100" w:type="dxa"/>
            </w:tcMar>
          </w:tcPr>
          <w:p>
            <w:r>
              <w:rPr>
                <w:rFonts w:ascii="Calibri" w:hAnsi="Calibri"/>
                <w:b w:val="0"/>
                <w:i w:val="0"/>
                <w:color w:val="2D3748"/>
                <w:sz w:val="17"/>
              </w:rPr>
              <w:t>Generalization</w:t>
            </w:r>
          </w:p>
        </w:tc>
        <w:tc>
          <w:tcPr>
            <w:tcW w:type="dxa" w:w="2160"/>
            <w:shd w:fill="F7FAFC" w:val="clear"/>
            <w:tcMar>
              <w:top w:w="80" w:type="dxa"/>
              <w:bottom w:w="80" w:type="dxa"/>
              <w:left w:w="100" w:type="dxa"/>
              <w:right w:w="100" w:type="dxa"/>
            </w:tcMar>
          </w:tcPr>
          <w:p>
            <w:r>
              <w:rPr>
                <w:rFonts w:ascii="Courier New" w:hAnsi="Courier New"/>
                <w:b w:val="0"/>
                <w:i w:val="0"/>
                <w:color w:val="2D3748"/>
                <w:sz w:val="15"/>
              </w:rPr>
              <w:t>UPDATE users SET age_range = CASE WHEN age BETWEEN 18 AND 25 THEN '18-25' ELSE 'Other' END, age=NULL;</w:t>
            </w:r>
          </w:p>
        </w:tc>
        <w:tc>
          <w:tcPr>
            <w:tcW w:type="dxa" w:w="2160"/>
            <w:shd w:fill="F7FAFC" w:val="clear"/>
            <w:tcMar>
              <w:top w:w="80" w:type="dxa"/>
              <w:bottom w:w="80" w:type="dxa"/>
              <w:left w:w="100" w:type="dxa"/>
              <w:right w:w="100" w:type="dxa"/>
            </w:tcMar>
          </w:tcPr>
          <w:p>
            <w:r>
              <w:rPr>
                <w:rFonts w:ascii="Courier New" w:hAnsi="Courier New"/>
                <w:b w:val="0"/>
                <w:i w:val="0"/>
                <w:color w:val="2D3748"/>
                <w:sz w:val="15"/>
              </w:rPr>
              <w:t>df['age_range'] = pd.cut(df['age'], bins=[0,17,25,35,50,100], labels=['0-17','18-25','26-35','36-50','50+'])</w:t>
            </w:r>
          </w:p>
        </w:tc>
        <w:tc>
          <w:tcPr>
            <w:tcW w:type="dxa" w:w="1584"/>
            <w:shd w:fill="F7FAFC" w:val="clear"/>
            <w:tcMar>
              <w:top w:w="80" w:type="dxa"/>
              <w:bottom w:w="80" w:type="dxa"/>
              <w:left w:w="100" w:type="dxa"/>
              <w:right w:w="100" w:type="dxa"/>
            </w:tcMar>
          </w:tcPr>
          <w:p>
            <w:r>
              <w:rPr>
                <w:rFonts w:ascii="Courier New" w:hAnsi="Courier New"/>
                <w:b w:val="0"/>
                <w:i w:val="0"/>
                <w:color w:val="2D3748"/>
                <w:sz w:val="15"/>
              </w:rPr>
              <w:t>df$age_range &lt;- cut(df$age, breaks=c(0,17,25,35,50,100), labels=c('0-17','18-25','26-35','36-50','50+'))</w:t>
            </w:r>
          </w:p>
        </w:tc>
        <w:tc>
          <w:tcPr>
            <w:tcW w:type="dxa" w:w="1728"/>
            <w:shd w:fill="F7FAFC" w:val="clear"/>
            <w:tcMar>
              <w:top w:w="80" w:type="dxa"/>
              <w:bottom w:w="80" w:type="dxa"/>
              <w:left w:w="100" w:type="dxa"/>
              <w:right w:w="100" w:type="dxa"/>
            </w:tcMar>
          </w:tcPr>
          <w:p>
            <w:r>
              <w:rPr>
                <w:rFonts w:ascii="Calibri" w:hAnsi="Calibri"/>
                <w:b w:val="0"/>
                <w:i w:val="0"/>
                <w:color w:val="2D3748"/>
                <w:sz w:val="17"/>
              </w:rPr>
              <w:t>Nested IF formula:</w:t>
              <w:br/>
              <w:t>=IF(A2&lt;=25, "18-25", "26+")</w:t>
            </w:r>
          </w:p>
        </w:tc>
      </w:tr>
    </w:tbl>
    <w:p>
      <w:pPr>
        <w:spacing w:before="160"/>
      </w:pPr>
    </w:p>
    <w:p>
      <w:pPr>
        <w:keepNext/>
        <w:spacing w:before="320" w:after="120"/>
      </w:pPr>
      <w:r>
        <w:rPr>
          <w:rFonts w:ascii="Calibri Light" w:hAnsi="Calibri Light"/>
          <w:b/>
          <w:i w:val="0"/>
          <w:color w:val="2C5282"/>
          <w:sz w:val="36"/>
        </w:rPr>
        <w:t>Phase 4: Statistical Validation &amp; Quality Control</w:t>
      </w:r>
    </w:p>
    <w:p>
      <w:pPr>
        <w:spacing w:before="0" w:after="120" w:line="276" w:lineRule="auto"/>
        <w:jc w:val="left"/>
      </w:pPr>
      <w:r>
        <w:rPr>
          <w:rFonts w:ascii="Calibri" w:hAnsi="Calibri"/>
          <w:b w:val="0"/>
          <w:i w:val="0"/>
          <w:color w:val="2D3748"/>
          <w:sz w:val="22"/>
        </w:rPr>
        <w:t>Anonymization is not complete once the scripts have finished running. To achieve safe data sharing, you must verify that de-identification was successful (zero leakage of raw PII) and that the resulting dataset remains analytically useful (distributions and relationships are preserved) (Walker, 2020;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Audit and Query for Residual PII Leakage: </w:t>
      </w:r>
      <w:r>
        <w:rPr>
          <w:rFonts w:ascii="Calibri" w:hAnsi="Calibri"/>
          <w:b w:val="0"/>
          <w:i w:val="0"/>
          <w:color w:val="2D3748"/>
          <w:sz w:val="22"/>
        </w:rPr>
        <w:t>Write assertions or query tables to check for unmasked data. For email validation, execute queries looking for common domains (e.g., SELECT COUNT(*) FROM users WHERE email LIKE '%@gmail.com' OR email LIKE '%@yahoo.com';). If the count is greater than zero, fail the quality gate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Conduct Pre-and-Post Descriptive Statistics Audit: </w:t>
      </w:r>
      <w:r>
        <w:rPr>
          <w:rFonts w:ascii="Calibri" w:hAnsi="Calibri"/>
          <w:b w:val="0"/>
          <w:i w:val="0"/>
          <w:color w:val="2D3748"/>
          <w:sz w:val="22"/>
        </w:rPr>
        <w:t>Verify that de-identification did not distort your statistical model parameters. Generate descriptive statistics before and after anonymization. Compare counts, means, medians, standard deviations, skewness, and kurtosis (e.g., SELECT AVG(salary), STDDEV(salary) FROM employees; compared to SELECT AVG(salary_anonymized), STDDEV(salary_anonymized) FROM employees;). Any significant divergence indicates a validation failure (Walker, 2020;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Verify Relational Join Integrity: </w:t>
      </w:r>
      <w:r>
        <w:rPr>
          <w:rFonts w:ascii="Calibri" w:hAnsi="Calibri"/>
          <w:b w:val="0"/>
          <w:i w:val="0"/>
          <w:color w:val="2D3748"/>
          <w:sz w:val="22"/>
        </w:rPr>
        <w:t>Test that your multi-table joins and merges still work flawlessly. If primary and foreign keys were hashed, run a test merge (e.g., pd.merge(users_anonymized, orders_anonymized, on='user_id_hash', how='inner')) and compare the record count against a raw production merge. A mismatch in record counts indicating orphan rows means hashing consistency was broken across relational boundaries (Walker, 2020;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Inspect Row-Wise Missing Data Distributions: </w:t>
      </w:r>
      <w:r>
        <w:rPr>
          <w:rFonts w:ascii="Calibri" w:hAnsi="Calibri"/>
          <w:b w:val="0"/>
          <w:i w:val="0"/>
          <w:color w:val="2D3748"/>
          <w:sz w:val="22"/>
        </w:rPr>
        <w:t>When data cleaning involves missing value imputation (such as mean imputation, forward-filling, or KNNImputer), perform row-wise and column-wise checking (using isnull().sum(axis=1) in Pandas) to ensure that rows with excessive missing data are pruned appropriately without altering the overall dataset representative characteristics (Walker, 2020).</w:t>
      </w:r>
    </w:p>
    <w:p>
      <w:pPr>
        <w:keepNext/>
        <w:spacing w:before="320" w:after="120"/>
      </w:pPr>
      <w:r>
        <w:rPr>
          <w:rFonts w:ascii="Calibri Light" w:hAnsi="Calibri Light"/>
          <w:b/>
          <w:i w:val="0"/>
          <w:color w:val="2C5282"/>
          <w:sz w:val="36"/>
        </w:rPr>
        <w:t>Phase 5: Common Pitfalls &amp; Governance Best Practices</w:t>
      </w:r>
    </w:p>
    <w:p>
      <w:pPr>
        <w:spacing w:before="0" w:after="120" w:line="276" w:lineRule="auto"/>
        <w:jc w:val="left"/>
      </w:pPr>
      <w:r>
        <w:rPr>
          <w:rFonts w:ascii="Calibri" w:hAnsi="Calibri"/>
          <w:b w:val="0"/>
          <w:i w:val="0"/>
          <w:color w:val="2D3748"/>
          <w:sz w:val="22"/>
        </w:rPr>
        <w:t>A successful de-identification framework requires establishing strong operational boundaries and avoiding critical procedural mistakes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Mistake #1: Forgetting about backups and transaction logs: </w:t>
      </w:r>
      <w:r>
        <w:rPr>
          <w:rFonts w:ascii="Calibri" w:hAnsi="Calibri"/>
          <w:b w:val="0"/>
          <w:i w:val="0"/>
          <w:color w:val="2D3748"/>
          <w:sz w:val="22"/>
        </w:rPr>
        <w:t>Anonymizing active staging databases does not secure your organization if legacy server backups, database logs, and application error repositories still contain raw personal records. Implement an end-to-end de-identification strategy that prunes, encrypts, or purges PII across all system storage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Mistake #2: Relying on weak masking for high-risk datasets: </w:t>
      </w:r>
      <w:r>
        <w:rPr>
          <w:rFonts w:ascii="Calibri" w:hAnsi="Calibri"/>
          <w:b w:val="0"/>
          <w:i w:val="0"/>
          <w:color w:val="2D3748"/>
          <w:sz w:val="22"/>
        </w:rPr>
        <w:t>Simple character replacements (e.g., replacing names with 'X' or keeping formatting like 'J*** Smith') are often reversible through frequency analysis, statistical matching, or simple deduction. Use strong, one-way cryptographic hash functions (SHA-256) with a secret, securely stored salt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Mistake #3: Lack of process and metadata documentation: </w:t>
      </w:r>
      <w:r>
        <w:rPr>
          <w:rFonts w:ascii="Calibri" w:hAnsi="Calibri"/>
          <w:b w:val="0"/>
          <w:i w:val="0"/>
          <w:color w:val="2D3748"/>
          <w:sz w:val="22"/>
        </w:rPr>
        <w:t>Ensure that every de-identification run is audited and recorded. Keep strict, version-controlled records of which columns were anonymized, when, and using what specific mathematical method. This documentation is critical for GDPR/CCPA regulatory audits and troubleshooting analytical anomalies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Mistake #4: Processing massive tables without performance controls: </w:t>
      </w:r>
      <w:r>
        <w:rPr>
          <w:rFonts w:ascii="Calibri" w:hAnsi="Calibri"/>
          <w:b w:val="0"/>
          <w:i w:val="0"/>
          <w:color w:val="2D3748"/>
          <w:sz w:val="22"/>
        </w:rPr>
        <w:t>Running heavy anonymization scripts (e.g., mass hashes or random updates) on tables with millions of records can overwhelm system RAM and cause database write-locks. Implement processing in batches (e.g., processing records in batches of 10,000 using limit clauses and small delays like sleep statements) to avoid locking the database and crashing connected staging apps (Codex, 2024).</w:t>
      </w:r>
    </w:p>
    <w:p>
      <w:pPr>
        <w:spacing w:before="0" w:after="80" w:line="276" w:lineRule="auto"/>
        <w:ind w:left="576" w:hanging="360"/>
      </w:pPr>
      <w:r>
        <w:rPr>
          <w:rFonts w:ascii="Calibri" w:hAnsi="Calibri"/>
          <w:b w:val="0"/>
          <w:i w:val="0"/>
          <w:color w:val="718096"/>
          <w:sz w:val="22"/>
        </w:rPr>
        <w:t xml:space="preserve">☐  </w:t>
      </w:r>
      <w:r>
        <w:rPr>
          <w:rFonts w:ascii="Calibri" w:hAnsi="Calibri"/>
          <w:b/>
          <w:i w:val="0"/>
          <w:color w:val="2D3748"/>
          <w:sz w:val="22"/>
        </w:rPr>
        <w:t xml:space="preserve">Mistake #5: Breaking application and downstream BI functionality: </w:t>
      </w:r>
      <w:r>
        <w:rPr>
          <w:rFonts w:ascii="Calibri" w:hAnsi="Calibri"/>
          <w:b w:val="0"/>
          <w:i w:val="0"/>
          <w:color w:val="2D3748"/>
          <w:sz w:val="22"/>
        </w:rPr>
        <w:t>Strict format validation (e.g., email syntax, credit card Luhn algorithm checks) can crash staging code if the de-identified data does not match the expected formats. Ensure that masking algorithms respect pattern preservation rules so staging servers continue to function cleanly (Codex, 2024).</w:t>
      </w:r>
    </w:p>
    <w:p>
      <w:pPr>
        <w:keepNext/>
        <w:spacing w:before="320" w:after="120"/>
      </w:pPr>
      <w:r>
        <w:rPr>
          <w:rFonts w:ascii="Calibri Light" w:hAnsi="Calibri Light"/>
          <w:b/>
          <w:i w:val="0"/>
          <w:color w:val="2C5282"/>
          <w:sz w:val="36"/>
        </w:rPr>
        <w:t>References</w:t>
      </w:r>
    </w:p>
    <w:p>
      <w:pPr>
        <w:spacing w:before="0" w:after="80" w:line="276" w:lineRule="auto"/>
        <w:ind w:left="576" w:hanging="576"/>
        <w:jc w:val="left"/>
      </w:pPr>
      <w:r>
        <w:rPr>
          <w:rFonts w:ascii="Calibri" w:hAnsi="Calibri"/>
          <w:b w:val="0"/>
          <w:i w:val="0"/>
          <w:color w:val="4A5568"/>
          <w:sz w:val="19"/>
        </w:rPr>
        <w:t>Codex, A. C. (2024). MySQL Data Anonymization Techniques. Reintech Engineering Standards.</w:t>
      </w:r>
    </w:p>
    <w:p>
      <w:pPr>
        <w:spacing w:before="0" w:after="80" w:line="276" w:lineRule="auto"/>
        <w:ind w:left="576" w:hanging="576"/>
        <w:jc w:val="left"/>
      </w:pPr>
      <w:r>
        <w:rPr>
          <w:rFonts w:ascii="Calibri" w:hAnsi="Calibri"/>
          <w:b w:val="0"/>
          <w:i w:val="0"/>
          <w:color w:val="4A5568"/>
          <w:sz w:val="19"/>
        </w:rPr>
        <w:t>Jethwa, A. (2021). [PII Detection] Analysis + Anonymization. Kaggle Learning Agency Lab.</w:t>
      </w:r>
    </w:p>
    <w:p>
      <w:pPr>
        <w:spacing w:before="0" w:after="80" w:line="276" w:lineRule="auto"/>
        <w:ind w:left="576" w:hanging="576"/>
        <w:jc w:val="left"/>
      </w:pPr>
      <w:r>
        <w:rPr>
          <w:rFonts w:ascii="Calibri" w:hAnsi="Calibri"/>
          <w:b w:val="0"/>
          <w:i w:val="0"/>
          <w:color w:val="4A5568"/>
          <w:sz w:val="19"/>
        </w:rPr>
        <w:t>Walker, M. (2020). Python Data Cleaning Cookbook: Modern techniques and Python tools to detect and remove dirty data. Packt Publishing.</w:t>
      </w:r>
    </w:p>
    <w:p>
      <w:pPr>
        <w:spacing w:before="0" w:after="80" w:line="276" w:lineRule="auto"/>
        <w:ind w:left="576" w:hanging="576"/>
        <w:jc w:val="left"/>
      </w:pPr>
      <w:r>
        <w:rPr>
          <w:rFonts w:ascii="Calibri" w:hAnsi="Calibri"/>
          <w:b w:val="0"/>
          <w:i w:val="0"/>
          <w:color w:val="4A5568"/>
          <w:sz w:val="19"/>
        </w:rPr>
        <w:t>Wong, C., Hamilton, J., &amp; Zoght, T. (2023). sanityze: Python package to help datascientists remove or redact Personal Identifiable Information (PII). PyPI Project Documentation.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A0AEC0"/>
        <w:sz w:val="17"/>
      </w:rPr>
      <w:t xml:space="preserve">Generated by Gemini Notebook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b w:val="0"/>
        <w:i w:val="0"/>
        <w:color w:val="A0AEC0"/>
        <w:sz w:val="17"/>
      </w:rPr>
      <w:t>PII DE-IDENTIFICATION MANIFESTO  |  DATA PRIVACY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